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C4" w:rsidRDefault="00DF72C4" w:rsidP="00E236C8">
      <w:pPr>
        <w:pStyle w:val="BodyText"/>
      </w:pPr>
      <w:bookmarkStart w:id="0" w:name="_GoBack"/>
      <w:bookmarkEnd w:id="0"/>
    </w:p>
    <w:p w:rsidR="004554C2" w:rsidRDefault="004554C2" w:rsidP="00E236C8">
      <w:pPr>
        <w:pStyle w:val="BodyText"/>
      </w:pPr>
    </w:p>
    <w:p w:rsidR="004554C2" w:rsidRDefault="0078525E" w:rsidP="00E236C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5C83D" wp14:editId="1E4F8D93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3842484" cy="27432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bling Technologies Consortium LOGO_WHITHE BK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7" t="16239" r="13062" b="13533"/>
                    <a:stretch/>
                  </pic:blipFill>
                  <pic:spPr bwMode="auto">
                    <a:xfrm>
                      <a:off x="0" y="0"/>
                      <a:ext cx="3842484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DA3" w:rsidRPr="0017424B" w:rsidRDefault="00870DA3" w:rsidP="00220B57">
      <w:pPr>
        <w:pStyle w:val="BodyText"/>
        <w:ind w:firstLine="0"/>
        <w:jc w:val="center"/>
        <w:rPr>
          <w:sz w:val="44"/>
          <w:szCs w:val="44"/>
        </w:rPr>
      </w:pPr>
      <w:r w:rsidRPr="0017424B">
        <w:rPr>
          <w:sz w:val="44"/>
          <w:szCs w:val="44"/>
        </w:rPr>
        <w:t>REQUEST FOR INFORMATION</w:t>
      </w:r>
    </w:p>
    <w:p w:rsidR="00BE0257" w:rsidRDefault="00BE0257" w:rsidP="00870DA3">
      <w:pPr>
        <w:pStyle w:val="BodyText"/>
        <w:ind w:firstLine="0"/>
        <w:jc w:val="center"/>
        <w:rPr>
          <w:i/>
          <w:sz w:val="44"/>
          <w:szCs w:val="44"/>
        </w:rPr>
      </w:pPr>
      <w:r w:rsidRPr="00750B91">
        <w:rPr>
          <w:i/>
          <w:sz w:val="44"/>
          <w:szCs w:val="44"/>
        </w:rPr>
        <w:t>Off-the-shelf Continuous Crystallizer</w:t>
      </w:r>
    </w:p>
    <w:p w:rsidR="004554C2" w:rsidRPr="005B2898" w:rsidRDefault="00F67292" w:rsidP="00870DA3">
      <w:pPr>
        <w:pStyle w:val="BodyTex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May 3</w:t>
      </w:r>
      <w:r w:rsidR="003A1E23">
        <w:rPr>
          <w:sz w:val="32"/>
          <w:szCs w:val="32"/>
        </w:rPr>
        <w:t>1</w:t>
      </w:r>
      <w:r>
        <w:rPr>
          <w:sz w:val="32"/>
          <w:szCs w:val="32"/>
        </w:rPr>
        <w:t>, 2017</w:t>
      </w:r>
    </w:p>
    <w:p w:rsidR="004554C2" w:rsidRPr="005B2898" w:rsidRDefault="004554C2">
      <w:pPr>
        <w:rPr>
          <w:sz w:val="32"/>
          <w:szCs w:val="32"/>
        </w:rPr>
      </w:pPr>
      <w:r w:rsidRPr="0017424B">
        <w:rPr>
          <w:i/>
          <w:sz w:val="32"/>
          <w:szCs w:val="32"/>
        </w:rPr>
        <w:br w:type="page"/>
      </w:r>
    </w:p>
    <w:p w:rsidR="00870DA3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lastRenderedPageBreak/>
        <w:t>Enabling Technologies Consortium</w:t>
      </w:r>
      <w:r w:rsidR="00167982">
        <w:rPr>
          <w:sz w:val="32"/>
          <w:szCs w:val="32"/>
        </w:rPr>
        <w:t>™</w:t>
      </w:r>
    </w:p>
    <w:p w:rsidR="004554C2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t>Request for Information</w:t>
      </w:r>
    </w:p>
    <w:sdt>
      <w:sdtPr>
        <w:rPr>
          <w:rFonts w:eastAsiaTheme="minorHAnsi" w:cstheme="minorBidi"/>
          <w:b w:val="0"/>
          <w:bCs w:val="0"/>
          <w:sz w:val="24"/>
          <w:szCs w:val="24"/>
          <w:lang w:eastAsia="en-US"/>
        </w:rPr>
        <w:id w:val="-13408477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554C2" w:rsidRDefault="004554C2" w:rsidP="001A2959">
          <w:pPr>
            <w:pStyle w:val="TOCHeading"/>
            <w:numPr>
              <w:ilvl w:val="0"/>
              <w:numId w:val="0"/>
            </w:numPr>
          </w:pPr>
          <w:r w:rsidRPr="004554C2">
            <w:t>Table of Contents</w:t>
          </w:r>
        </w:p>
        <w:p w:rsidR="004554C2" w:rsidRPr="004554C2" w:rsidRDefault="004554C2" w:rsidP="004554C2">
          <w:pPr>
            <w:rPr>
              <w:lang w:eastAsia="ja-JP"/>
            </w:rPr>
          </w:pPr>
        </w:p>
        <w:p w:rsidR="00716492" w:rsidRDefault="004554C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17424B">
            <w:fldChar w:fldCharType="begin"/>
          </w:r>
          <w:r w:rsidRPr="0017424B">
            <w:instrText xml:space="preserve"> TOC \o "1-3" \h \z \u </w:instrText>
          </w:r>
          <w:r w:rsidRPr="0017424B">
            <w:fldChar w:fldCharType="separate"/>
          </w:r>
          <w:hyperlink w:anchor="_Toc482191657" w:history="1">
            <w:r w:rsidR="00716492" w:rsidRPr="00ED200A">
              <w:rPr>
                <w:rStyle w:val="Hyperlink"/>
                <w:noProof/>
              </w:rPr>
              <w:t>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Introduction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_Toc482191657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3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58" w:history="1">
            <w:r w:rsidR="00716492" w:rsidRPr="00ED200A">
              <w:rPr>
                <w:rStyle w:val="Hyperlink"/>
                <w:noProof/>
              </w:rPr>
              <w:t>1.1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About Enabling Technologies Consortium™ (ETC)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_Toc482191658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3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59" w:history="1">
            <w:r w:rsidR="00716492" w:rsidRPr="00ED200A">
              <w:rPr>
                <w:rStyle w:val="Hyperlink"/>
                <w:noProof/>
              </w:rPr>
              <w:t>1.2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Request for Information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_Toc482191659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3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0" w:history="1">
            <w:r w:rsidR="00716492" w:rsidRPr="00ED200A">
              <w:rPr>
                <w:rStyle w:val="Hyperlink"/>
                <w:noProof/>
              </w:rPr>
              <w:t>1.3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Disclaimer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_Toc482191660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3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1" w:history="1">
            <w:r w:rsidR="00716492" w:rsidRPr="00ED200A">
              <w:rPr>
                <w:rStyle w:val="Hyperlink"/>
                <w:noProof/>
              </w:rPr>
              <w:t>1.4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RFI Contact Information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_Toc482191661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4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2" w:history="1">
            <w:r w:rsidR="00716492" w:rsidRPr="00ED200A">
              <w:rPr>
                <w:rStyle w:val="Hyperlink"/>
                <w:noProof/>
              </w:rPr>
              <w:t>1.5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Anticipated Time Frames for Evaluation and Selection Process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_Toc482191662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4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3" w:history="1">
            <w:r w:rsidR="00716492" w:rsidRPr="00ED200A">
              <w:rPr>
                <w:rStyle w:val="Hyperlink"/>
                <w:noProof/>
              </w:rPr>
              <w:t>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Project Information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_Toc482191663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5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4" w:history="1">
            <w:r w:rsidR="00716492" w:rsidRPr="00ED200A">
              <w:rPr>
                <w:rStyle w:val="Hyperlink"/>
                <w:noProof/>
              </w:rPr>
              <w:t>2.1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Possible Project Sponsors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_Toc482191664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5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5" w:history="1">
            <w:r w:rsidR="00716492" w:rsidRPr="00ED200A">
              <w:rPr>
                <w:rStyle w:val="Hyperlink"/>
                <w:noProof/>
              </w:rPr>
              <w:t>2.2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Description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_Toc482191665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5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6" w:history="1">
            <w:r w:rsidR="00716492" w:rsidRPr="00ED200A">
              <w:rPr>
                <w:rStyle w:val="Hyperlink"/>
                <w:noProof/>
              </w:rPr>
              <w:t>2.3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Off-the-Shelf Continuous Crystallizer Requirements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_Toc482191666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5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7" w:history="1">
            <w:r w:rsidR="00716492" w:rsidRPr="00ED200A">
              <w:rPr>
                <w:rStyle w:val="Hyperlink"/>
                <w:noProof/>
              </w:rPr>
              <w:t>2.3.1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Necessary Hardware and Software Requirements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_Toc482191667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5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8" w:history="1">
            <w:r w:rsidR="00716492" w:rsidRPr="00ED200A">
              <w:rPr>
                <w:rStyle w:val="Hyperlink"/>
                <w:noProof/>
              </w:rPr>
              <w:t>2.3.2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Optional Hardware and Software Requirements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_Toc482191668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7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69" w:history="1">
            <w:r w:rsidR="00716492" w:rsidRPr="00ED200A">
              <w:rPr>
                <w:rStyle w:val="Hyperlink"/>
                <w:noProof/>
              </w:rPr>
              <w:t>2.3.3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Availability Requirements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_Toc482191669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7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0" w:history="1">
            <w:r w:rsidR="00716492" w:rsidRPr="00ED200A">
              <w:rPr>
                <w:rStyle w:val="Hyperlink"/>
                <w:noProof/>
              </w:rPr>
              <w:t>2.3.4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Licensing Requirements for Commercialized Product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_Toc482191670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8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1" w:history="1">
            <w:r w:rsidR="00716492" w:rsidRPr="00ED200A">
              <w:rPr>
                <w:rStyle w:val="Hyperlink"/>
                <w:noProof/>
              </w:rPr>
              <w:t>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Criteria for Evaluation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_Toc482191671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8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2" w:history="1">
            <w:r w:rsidR="00716492" w:rsidRPr="00ED200A">
              <w:rPr>
                <w:rStyle w:val="Hyperlink"/>
                <w:noProof/>
              </w:rPr>
              <w:t>4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 xml:space="preserve">Respondent Profile </w:t>
            </w:r>
            <w:r w:rsidR="00716492" w:rsidRPr="00ED200A">
              <w:rPr>
                <w:rStyle w:val="Hyperlink"/>
                <w:i/>
                <w:noProof/>
              </w:rPr>
              <w:t>(to be completed by RFI respondent)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_Toc482191672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8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3" w:history="1">
            <w:r w:rsidR="00716492" w:rsidRPr="00ED200A">
              <w:rPr>
                <w:rStyle w:val="Hyperlink"/>
                <w:noProof/>
              </w:rPr>
              <w:t>4.1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Company/Organization Information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_Toc482191673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8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4" w:history="1">
            <w:r w:rsidR="00716492" w:rsidRPr="00ED200A">
              <w:rPr>
                <w:rStyle w:val="Hyperlink"/>
                <w:noProof/>
              </w:rPr>
              <w:t>4.2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Primary Contact Person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_Toc482191674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9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5" w:history="1">
            <w:r w:rsidR="00716492" w:rsidRPr="00ED200A">
              <w:rPr>
                <w:rStyle w:val="Hyperlink"/>
                <w:noProof/>
              </w:rPr>
              <w:t>4.3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Company/Organization Overview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_Toc482191675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9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6" w:history="1">
            <w:r w:rsidR="00716492" w:rsidRPr="00ED200A">
              <w:rPr>
                <w:rStyle w:val="Hyperlink"/>
                <w:noProof/>
              </w:rPr>
              <w:t>4.4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Parent Corporation and/or Subsidiaries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_Toc482191676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9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7" w:history="1">
            <w:r w:rsidR="00716492" w:rsidRPr="00ED200A">
              <w:rPr>
                <w:rStyle w:val="Hyperlink"/>
                <w:noProof/>
              </w:rPr>
              <w:t>4.5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Summary of Expertise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_Toc482191677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9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8" w:history="1">
            <w:r w:rsidR="00716492" w:rsidRPr="00ED200A">
              <w:rPr>
                <w:rStyle w:val="Hyperlink"/>
                <w:noProof/>
              </w:rPr>
              <w:t>4.6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Standards Certifications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_Toc482191678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10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79" w:history="1">
            <w:r w:rsidR="00716492" w:rsidRPr="00ED200A">
              <w:rPr>
                <w:rStyle w:val="Hyperlink"/>
                <w:noProof/>
              </w:rPr>
              <w:t>4.7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Goals and Strategic Vision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_Toc482191679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10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0" w:history="1">
            <w:r w:rsidR="00716492" w:rsidRPr="00ED200A">
              <w:rPr>
                <w:rStyle w:val="Hyperlink"/>
                <w:noProof/>
              </w:rPr>
              <w:t>4.8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Miscellaneous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_Toc482191680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10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1" w:history="1">
            <w:r w:rsidR="00716492" w:rsidRPr="00ED200A">
              <w:rPr>
                <w:rStyle w:val="Hyperlink"/>
                <w:noProof/>
              </w:rPr>
              <w:t>5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Company/Organization Response to RFI (</w:t>
            </w:r>
            <w:r w:rsidR="00716492" w:rsidRPr="00ED200A">
              <w:rPr>
                <w:rStyle w:val="Hyperlink"/>
                <w:i/>
                <w:noProof/>
              </w:rPr>
              <w:t>to be completed by RFI respondent)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_Toc482191681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11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2" w:history="1">
            <w:r w:rsidR="00716492" w:rsidRPr="00ED200A">
              <w:rPr>
                <w:rStyle w:val="Hyperlink"/>
                <w:noProof/>
              </w:rPr>
              <w:t>5.1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Proposal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_Toc482191682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11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3" w:history="1">
            <w:r w:rsidR="00716492" w:rsidRPr="00ED200A">
              <w:rPr>
                <w:rStyle w:val="Hyperlink"/>
                <w:noProof/>
              </w:rPr>
              <w:t>5.2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Functional Requirements &amp; Specifications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_Toc482191683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11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4" w:history="1">
            <w:r w:rsidR="00716492" w:rsidRPr="00ED200A">
              <w:rPr>
                <w:rStyle w:val="Hyperlink"/>
                <w:noProof/>
              </w:rPr>
              <w:t>5.3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Estimated Timeline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_Toc482191684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16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716492" w:rsidRDefault="00973926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82191685" w:history="1">
            <w:r w:rsidR="00716492" w:rsidRPr="00ED200A">
              <w:rPr>
                <w:rStyle w:val="Hyperlink"/>
                <w:noProof/>
              </w:rPr>
              <w:t>5.4</w:t>
            </w:r>
            <w:r w:rsidR="00716492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716492" w:rsidRPr="00ED200A">
              <w:rPr>
                <w:rStyle w:val="Hyperlink"/>
                <w:noProof/>
              </w:rPr>
              <w:t>Estimated Project Cost</w:t>
            </w:r>
            <w:r w:rsidR="00716492">
              <w:rPr>
                <w:noProof/>
                <w:webHidden/>
              </w:rPr>
              <w:tab/>
            </w:r>
            <w:r w:rsidR="00716492">
              <w:rPr>
                <w:noProof/>
                <w:webHidden/>
              </w:rPr>
              <w:fldChar w:fldCharType="begin"/>
            </w:r>
            <w:r w:rsidR="00716492">
              <w:rPr>
                <w:noProof/>
                <w:webHidden/>
              </w:rPr>
              <w:instrText xml:space="preserve"> PAGEREF _Toc482191685 \h </w:instrText>
            </w:r>
            <w:r w:rsidR="00716492">
              <w:rPr>
                <w:noProof/>
                <w:webHidden/>
              </w:rPr>
            </w:r>
            <w:r w:rsidR="00716492">
              <w:rPr>
                <w:noProof/>
                <w:webHidden/>
              </w:rPr>
              <w:fldChar w:fldCharType="separate"/>
            </w:r>
            <w:r w:rsidR="00716492">
              <w:rPr>
                <w:noProof/>
                <w:webHidden/>
              </w:rPr>
              <w:t>16</w:t>
            </w:r>
            <w:r w:rsidR="00716492">
              <w:rPr>
                <w:noProof/>
                <w:webHidden/>
              </w:rPr>
              <w:fldChar w:fldCharType="end"/>
            </w:r>
          </w:hyperlink>
        </w:p>
        <w:p w:rsidR="00E8659C" w:rsidRDefault="004554C2" w:rsidP="00220B57">
          <w:pPr>
            <w:rPr>
              <w:noProof/>
            </w:rPr>
          </w:pPr>
          <w:r w:rsidRPr="0017424B">
            <w:rPr>
              <w:b/>
              <w:bCs/>
              <w:noProof/>
            </w:rPr>
            <w:fldChar w:fldCharType="end"/>
          </w:r>
        </w:p>
      </w:sdtContent>
    </w:sdt>
    <w:p w:rsidR="00220B57" w:rsidRDefault="00220B5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554C2" w:rsidRPr="0030651A" w:rsidRDefault="003F73F1" w:rsidP="001A2959">
      <w:pPr>
        <w:pStyle w:val="Heading1"/>
      </w:pPr>
      <w:bookmarkStart w:id="1" w:name="_Toc482191657"/>
      <w:r w:rsidRPr="001A2959">
        <w:t>Introduction</w:t>
      </w:r>
      <w:bookmarkEnd w:id="1"/>
    </w:p>
    <w:p w:rsidR="007F54BE" w:rsidRPr="0030651A" w:rsidRDefault="007F54BE" w:rsidP="00612F49">
      <w:pPr>
        <w:pStyle w:val="Heading2"/>
      </w:pPr>
      <w:bookmarkStart w:id="2" w:name="_Toc482191658"/>
      <w:r w:rsidRPr="0030651A">
        <w:t xml:space="preserve">About </w:t>
      </w:r>
      <w:r w:rsidRPr="00863A8B">
        <w:t>Enabling</w:t>
      </w:r>
      <w:r w:rsidRPr="0030651A">
        <w:t xml:space="preserve"> Technologies Consortium</w:t>
      </w:r>
      <w:r w:rsidR="00167982" w:rsidRPr="0030651A">
        <w:t>™</w:t>
      </w:r>
      <w:r w:rsidRPr="0030651A">
        <w:t xml:space="preserve"> (ETC)</w:t>
      </w:r>
      <w:bookmarkEnd w:id="2"/>
      <w:r w:rsidR="00324355" w:rsidRPr="0030651A">
        <w:t xml:space="preserve">  </w:t>
      </w:r>
    </w:p>
    <w:p w:rsidR="007F54BE" w:rsidRDefault="00A62917" w:rsidP="00EF6AA7">
      <w:pPr>
        <w:jc w:val="both"/>
      </w:pPr>
      <w:r w:rsidRPr="00A62917">
        <w:t xml:space="preserve">The </w:t>
      </w:r>
      <w:r>
        <w:t>Enabling Technologies</w:t>
      </w:r>
      <w:r w:rsidRPr="00A62917">
        <w:t xml:space="preserve"> Consortium</w:t>
      </w:r>
      <w:r w:rsidR="00167982">
        <w:t>™</w:t>
      </w:r>
      <w:r w:rsidRPr="00A62917">
        <w:t xml:space="preserve"> </w:t>
      </w:r>
      <w:r>
        <w:t xml:space="preserve">(ETC) is comprised of pharmaceutical and biotechnology </w:t>
      </w:r>
      <w:r w:rsidR="0019669C">
        <w:t xml:space="preserve">companies </w:t>
      </w:r>
      <w:r w:rsidRPr="00A62917">
        <w:t>collaboratin</w:t>
      </w:r>
      <w:r w:rsidR="0019669C">
        <w:t>g</w:t>
      </w:r>
      <w:r w:rsidRPr="00A62917">
        <w:t xml:space="preserve"> on issues related to pharmaceutical chemistry, manufacturing, and control with the goal of identifying, evaluating, developing, and improving scientific tools and techniques that support the efficient development, and manufacturing of pharmaceuticals</w:t>
      </w:r>
      <w:r w:rsidR="0019669C">
        <w:t>.</w:t>
      </w:r>
      <w:r w:rsidR="008C5A21">
        <w:t xml:space="preserve"> The purpose of this consortium is to identify pro-actively</w:t>
      </w:r>
      <w:r w:rsidR="008C5A21" w:rsidRPr="008C5A21">
        <w:t xml:space="preserve"> high-value opportunities to deliver innovative technologies where the business case is compelling and collaboration with the broader external community is required</w:t>
      </w:r>
      <w:r w:rsidR="008C5A21">
        <w:t>.</w:t>
      </w:r>
    </w:p>
    <w:p w:rsidR="007F54BE" w:rsidRPr="005B2898" w:rsidRDefault="007F54BE" w:rsidP="00612F49">
      <w:pPr>
        <w:pStyle w:val="Heading2"/>
      </w:pPr>
      <w:bookmarkStart w:id="3" w:name="_Toc482191659"/>
      <w:r w:rsidRPr="005B2898">
        <w:t xml:space="preserve">Request </w:t>
      </w:r>
      <w:r w:rsidR="00F401F8" w:rsidRPr="005B2898">
        <w:t>for</w:t>
      </w:r>
      <w:r w:rsidRPr="005B2898">
        <w:t xml:space="preserve"> Information</w:t>
      </w:r>
      <w:bookmarkEnd w:id="3"/>
    </w:p>
    <w:p w:rsidR="003313B3" w:rsidRDefault="002E1A77" w:rsidP="00EF6AA7">
      <w:pPr>
        <w:jc w:val="both"/>
      </w:pPr>
      <w:r>
        <w:t xml:space="preserve">Publication of this Request for Information (RFI) is the first step by ETC to gather information on and solicit interest in collaborating together on an Off-the-Shelf Continuous Crystallizer </w:t>
      </w:r>
      <w:r w:rsidR="00526E00">
        <w:t>o</w:t>
      </w:r>
      <w:r>
        <w:t>n a future ETC project (expected 2018).</w:t>
      </w:r>
      <w:r w:rsidRPr="00C20EAA">
        <w:t xml:space="preserve">  The information collected </w:t>
      </w:r>
      <w:r>
        <w:t xml:space="preserve">during the RFI process will be used to inform plans for future ETC projects. </w:t>
      </w:r>
      <w:r w:rsidR="0048580A">
        <w:t xml:space="preserve">As noted below, responses to RFIs should contain only high level discussions of product development efforts and should not contain trade secrets or confidential information. </w:t>
      </w:r>
      <w:r>
        <w:t>R</w:t>
      </w:r>
      <w:r w:rsidRPr="00C20EAA">
        <w:t xml:space="preserve">espondent(s) </w:t>
      </w:r>
      <w:r>
        <w:t>to this RFI may</w:t>
      </w:r>
      <w:r w:rsidRPr="00C20EAA">
        <w:t xml:space="preserve"> be invited to submit a proposal to </w:t>
      </w:r>
      <w:r>
        <w:t>a</w:t>
      </w:r>
      <w:r w:rsidRPr="00C20EAA">
        <w:t xml:space="preserve"> future </w:t>
      </w:r>
      <w:r w:rsidRPr="001F415F">
        <w:t>Off-the-Shelf Continuous Crystal</w:t>
      </w:r>
      <w:r>
        <w:t>l</w:t>
      </w:r>
      <w:r w:rsidRPr="001F415F">
        <w:t xml:space="preserve">izer </w:t>
      </w:r>
      <w:r w:rsidRPr="00C20EAA">
        <w:t>RFP</w:t>
      </w:r>
      <w:r>
        <w:t xml:space="preserve"> (expected 2018)</w:t>
      </w:r>
      <w:r w:rsidRPr="00C20EAA">
        <w:t>.</w:t>
      </w:r>
      <w:r>
        <w:t xml:space="preserve"> </w:t>
      </w:r>
    </w:p>
    <w:p w:rsidR="000F6030" w:rsidRDefault="000F6030" w:rsidP="00EF6AA7">
      <w:pPr>
        <w:jc w:val="both"/>
      </w:pPr>
    </w:p>
    <w:p w:rsidR="000F6030" w:rsidRDefault="00C35EE0" w:rsidP="00EF6AA7">
      <w:pPr>
        <w:jc w:val="both"/>
      </w:pPr>
      <w:r>
        <w:t>The</w:t>
      </w:r>
      <w:r w:rsidR="000F6030">
        <w:t xml:space="preserve"> RFI</w:t>
      </w:r>
      <w:r>
        <w:t xml:space="preserve"> process</w:t>
      </w:r>
      <w:r w:rsidR="000F6030">
        <w:t xml:space="preserve"> will serve to provide ETC</w:t>
      </w:r>
      <w:r>
        <w:t xml:space="preserve"> members</w:t>
      </w:r>
      <w:r w:rsidR="000F6030">
        <w:t xml:space="preserve"> with information on project scope, timeline, and resource requirements</w:t>
      </w:r>
      <w:r>
        <w:t xml:space="preserve"> in order </w:t>
      </w:r>
      <w:r w:rsidR="00B364EF">
        <w:t>for ETC to define the 2018 P</w:t>
      </w:r>
      <w:r>
        <w:t>roject</w:t>
      </w:r>
      <w:r w:rsidR="00B364EF">
        <w:t xml:space="preserve"> Roadmap</w:t>
      </w:r>
      <w:r>
        <w:t xml:space="preserve"> and allow individual ETC members to meet budget allocation deadlines to support projects in 2018</w:t>
      </w:r>
      <w:r w:rsidR="00B364EF">
        <w:t>.</w:t>
      </w:r>
      <w:r>
        <w:t xml:space="preserve"> </w:t>
      </w:r>
    </w:p>
    <w:p w:rsidR="008444A3" w:rsidRPr="005B2898" w:rsidRDefault="008444A3" w:rsidP="00612F49">
      <w:pPr>
        <w:pStyle w:val="Heading2"/>
      </w:pPr>
      <w:bookmarkStart w:id="4" w:name="_Toc449359838"/>
      <w:bookmarkStart w:id="5" w:name="_Toc482191660"/>
      <w:r w:rsidRPr="005B2898">
        <w:t>Disclaimer</w:t>
      </w:r>
      <w:bookmarkEnd w:id="4"/>
      <w:bookmarkEnd w:id="5"/>
    </w:p>
    <w:p w:rsidR="008444A3" w:rsidRDefault="008444A3" w:rsidP="0030651A">
      <w:pPr>
        <w:jc w:val="both"/>
      </w:pPr>
      <w:r>
        <w:t xml:space="preserve">The contents and information provided in this RFI are meant to provide general information to parties interested in developing </w:t>
      </w:r>
      <w:r w:rsidR="00BE0257">
        <w:t>an Off-the-shelf Continuous Crystallizer</w:t>
      </w:r>
      <w:r>
        <w:t xml:space="preserve">. </w:t>
      </w:r>
      <w:r w:rsidR="00454C17">
        <w:t xml:space="preserve">If a collaborative project results from this RFI, the </w:t>
      </w:r>
      <w:r>
        <w:t>successful respondent will be required to execute an Agreement that will govern the terms of the project.  When responding to this RFI, please note the following:</w:t>
      </w:r>
    </w:p>
    <w:p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This RFI is not an offer or a contract</w:t>
      </w:r>
    </w:p>
    <w:p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Proposals submitted in response to this RFI become property of ETC</w:t>
      </w:r>
    </w:p>
    <w:p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Respondents will not be compensated or reimbursed for any costs incurred as part of the RFI process</w:t>
      </w:r>
    </w:p>
    <w:p w:rsidR="00CA7255" w:rsidRDefault="002B68B5" w:rsidP="00431E9B">
      <w:pPr>
        <w:pStyle w:val="ListParagraph"/>
        <w:numPr>
          <w:ilvl w:val="0"/>
          <w:numId w:val="2"/>
        </w:numPr>
        <w:ind w:left="720"/>
        <w:jc w:val="both"/>
      </w:pPr>
      <w:r w:rsidRPr="002618B6">
        <w:t xml:space="preserve">Any questions received </w:t>
      </w:r>
      <w:r w:rsidR="003313B3">
        <w:t xml:space="preserve">from potential respondents </w:t>
      </w:r>
      <w:r w:rsidRPr="002618B6">
        <w:t>will be anonymized and made available to all respondents via our website</w:t>
      </w:r>
    </w:p>
    <w:p w:rsidR="002618B6" w:rsidRDefault="00FE73E3" w:rsidP="002618B6">
      <w:pPr>
        <w:pStyle w:val="ListParagraph"/>
        <w:numPr>
          <w:ilvl w:val="0"/>
          <w:numId w:val="2"/>
        </w:numPr>
        <w:ind w:left="720"/>
        <w:jc w:val="both"/>
      </w:pPr>
      <w:r w:rsidRPr="00044EFE">
        <w:t>All</w:t>
      </w:r>
      <w:r>
        <w:t xml:space="preserve"> proposals</w:t>
      </w:r>
      <w:r w:rsidRPr="00044EFE">
        <w:t xml:space="preserve"> received </w:t>
      </w:r>
      <w:r w:rsidR="003866F4">
        <w:t xml:space="preserve">in response to this RFI </w:t>
      </w:r>
      <w:r w:rsidRPr="00044EFE">
        <w:t>will</w:t>
      </w:r>
      <w:r>
        <w:t xml:space="preserve"> remain confidential within ETC and not shared with other respondents</w:t>
      </w:r>
    </w:p>
    <w:p w:rsidR="002618B6" w:rsidRDefault="002618B6" w:rsidP="002618B6">
      <w:pPr>
        <w:pStyle w:val="ListParagraph"/>
        <w:numPr>
          <w:ilvl w:val="0"/>
          <w:numId w:val="2"/>
        </w:numPr>
        <w:ind w:left="720"/>
        <w:jc w:val="both"/>
      </w:pPr>
      <w:r>
        <w:t>R</w:t>
      </w:r>
      <w:r w:rsidRPr="002618B6">
        <w:t>esponses to RFIs should contain only high level discussions of product development efforts and should not contain trade secrets or confidential information</w:t>
      </w:r>
    </w:p>
    <w:p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ETC is not obligated to contract for any of the products and services described in this RFI</w:t>
      </w:r>
    </w:p>
    <w:p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ETC reserves the right to:</w:t>
      </w:r>
    </w:p>
    <w:p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 xml:space="preserve">Accept or reject any or all </w:t>
      </w:r>
      <w:r w:rsidR="00335F23">
        <w:t>responses</w:t>
      </w:r>
    </w:p>
    <w:p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Waive any anomalies in proposals</w:t>
      </w:r>
    </w:p>
    <w:p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 xml:space="preserve">Negotiate with any or all </w:t>
      </w:r>
      <w:r w:rsidR="00335F23">
        <w:t>respondents</w:t>
      </w:r>
    </w:p>
    <w:p w:rsidR="0041230A" w:rsidRPr="00B364EF" w:rsidRDefault="008444A3" w:rsidP="00B364EF">
      <w:pPr>
        <w:pStyle w:val="ListParagraph"/>
        <w:numPr>
          <w:ilvl w:val="1"/>
          <w:numId w:val="2"/>
        </w:numPr>
        <w:ind w:left="1440"/>
        <w:jc w:val="both"/>
        <w:rPr>
          <w:rFonts w:eastAsia="Times New Roman" w:cs="Times New Roman"/>
          <w:b/>
          <w:bCs/>
          <w:szCs w:val="26"/>
        </w:rPr>
      </w:pPr>
      <w:r>
        <w:t>Modify or cancel this RFI at any time</w:t>
      </w:r>
      <w:r w:rsidR="0041230A">
        <w:br w:type="page"/>
      </w:r>
    </w:p>
    <w:p w:rsidR="00E06937" w:rsidRPr="005B2898" w:rsidRDefault="00710596" w:rsidP="00612F49">
      <w:pPr>
        <w:pStyle w:val="Heading2"/>
      </w:pPr>
      <w:bookmarkStart w:id="6" w:name="_Toc482191661"/>
      <w:r w:rsidRPr="005B2898">
        <w:t xml:space="preserve">RFI </w:t>
      </w:r>
      <w:r w:rsidR="00E06937" w:rsidRPr="005B2898">
        <w:t>Contact Information</w:t>
      </w:r>
      <w:bookmarkEnd w:id="6"/>
    </w:p>
    <w:p w:rsidR="0017424B" w:rsidRDefault="0017424B" w:rsidP="0017424B">
      <w:r>
        <w:t xml:space="preserve">All questions and inquiries regarding this RFI should be directed to: </w:t>
      </w:r>
    </w:p>
    <w:p w:rsidR="0017424B" w:rsidRDefault="00863A8B" w:rsidP="00D66FE4">
      <w:pPr>
        <w:ind w:left="720"/>
      </w:pPr>
      <w:r>
        <w:t xml:space="preserve">Ms. </w:t>
      </w:r>
      <w:r w:rsidR="00D66FE4">
        <w:t>Alexis</w:t>
      </w:r>
      <w:r w:rsidR="0017424B">
        <w:t xml:space="preserve"> </w:t>
      </w:r>
      <w:r w:rsidR="0041230A">
        <w:t>Myers</w:t>
      </w:r>
    </w:p>
    <w:p w:rsidR="0017424B" w:rsidRDefault="00D66FE4" w:rsidP="00D66FE4">
      <w:pPr>
        <w:ind w:left="720"/>
      </w:pPr>
      <w:r>
        <w:t>Project Coordinator</w:t>
      </w:r>
    </w:p>
    <w:p w:rsidR="00D66FE4" w:rsidRDefault="00D66FE4" w:rsidP="00D66FE4">
      <w:pPr>
        <w:ind w:left="720"/>
      </w:pPr>
      <w:r>
        <w:t>ETC Secretariat</w:t>
      </w:r>
    </w:p>
    <w:p w:rsidR="00D66FE4" w:rsidRDefault="00D66FE4" w:rsidP="00D66FE4">
      <w:pPr>
        <w:ind w:left="720"/>
      </w:pPr>
      <w:r>
        <w:t>c/o Drinker Biddle &amp; Reath, LLP</w:t>
      </w:r>
    </w:p>
    <w:p w:rsidR="0017424B" w:rsidRDefault="00D66FE4" w:rsidP="00D66FE4">
      <w:pPr>
        <w:ind w:left="720"/>
      </w:pPr>
      <w:r>
        <w:t>1500 K St NW</w:t>
      </w:r>
      <w:r w:rsidR="0017424B">
        <w:t xml:space="preserve"> </w:t>
      </w:r>
    </w:p>
    <w:p w:rsidR="0017424B" w:rsidRDefault="00D66FE4" w:rsidP="00D66FE4">
      <w:pPr>
        <w:ind w:left="720"/>
      </w:pPr>
      <w:r>
        <w:t>Washington DC, 20005-1209</w:t>
      </w:r>
      <w:r w:rsidR="0017424B">
        <w:t xml:space="preserve">  </w:t>
      </w:r>
    </w:p>
    <w:p w:rsidR="0017424B" w:rsidRDefault="007B3E0A" w:rsidP="00D66FE4">
      <w:pPr>
        <w:ind w:left="720"/>
      </w:pPr>
      <w:r w:rsidRPr="007B3E0A">
        <w:t>(202) 842-8800</w:t>
      </w:r>
    </w:p>
    <w:p w:rsidR="003F73F1" w:rsidRDefault="00973926" w:rsidP="007B3E0A">
      <w:pPr>
        <w:ind w:left="720"/>
      </w:pPr>
      <w:hyperlink r:id="rId9" w:history="1">
        <w:r w:rsidR="0042412B" w:rsidRPr="00934410">
          <w:rPr>
            <w:rStyle w:val="Hyperlink"/>
          </w:rPr>
          <w:t>info@etconsortium.org</w:t>
        </w:r>
      </w:hyperlink>
      <w:r w:rsidR="0042412B">
        <w:t xml:space="preserve"> </w:t>
      </w:r>
    </w:p>
    <w:p w:rsidR="007C3713" w:rsidRDefault="00973926" w:rsidP="007B3E0A">
      <w:pPr>
        <w:ind w:left="720"/>
      </w:pPr>
      <w:hyperlink r:id="rId10" w:history="1">
        <w:r w:rsidR="00B738F5" w:rsidRPr="001B414E">
          <w:rPr>
            <w:rStyle w:val="Hyperlink"/>
          </w:rPr>
          <w:t>http://www.etconsortium.org/</w:t>
        </w:r>
      </w:hyperlink>
      <w:r w:rsidR="00B738F5">
        <w:t xml:space="preserve"> </w:t>
      </w:r>
    </w:p>
    <w:p w:rsidR="007B3E0A" w:rsidRPr="005B2898" w:rsidRDefault="007B3E0A" w:rsidP="00612F49">
      <w:pPr>
        <w:pStyle w:val="Heading2"/>
      </w:pPr>
      <w:bookmarkStart w:id="7" w:name="_Toc482191662"/>
      <w:r w:rsidRPr="005B2898">
        <w:t xml:space="preserve">Anticipated </w:t>
      </w:r>
      <w:r w:rsidRPr="00606AC5">
        <w:t>Time</w:t>
      </w:r>
      <w:r w:rsidRPr="005B2898">
        <w:t xml:space="preserve"> Frames for Evaluation and Selection Process</w:t>
      </w:r>
      <w:bookmarkEnd w:id="7"/>
    </w:p>
    <w:p w:rsidR="007B3E0A" w:rsidRPr="00A808AF" w:rsidRDefault="007B3E0A" w:rsidP="00030649">
      <w:pPr>
        <w:tabs>
          <w:tab w:val="left" w:leader="dot" w:pos="7200"/>
        </w:tabs>
        <w:ind w:left="720"/>
      </w:pPr>
      <w:r w:rsidRPr="00A808AF">
        <w:t xml:space="preserve">Issue </w:t>
      </w:r>
      <w:r w:rsidR="00030649" w:rsidRPr="00A808AF">
        <w:t>RFI</w:t>
      </w:r>
      <w:r w:rsidR="00030649" w:rsidRPr="00A808AF">
        <w:tab/>
      </w:r>
      <w:r w:rsidR="0042596A" w:rsidRPr="00A808AF">
        <w:t>May 30, 2017</w:t>
      </w:r>
      <w:r w:rsidR="0061255B" w:rsidRPr="00A808AF">
        <w:t xml:space="preserve"> </w:t>
      </w:r>
    </w:p>
    <w:p w:rsidR="00A808AF" w:rsidRPr="00A808AF" w:rsidRDefault="00F67292" w:rsidP="00030649">
      <w:pPr>
        <w:tabs>
          <w:tab w:val="left" w:leader="dot" w:pos="7200"/>
        </w:tabs>
        <w:ind w:left="720"/>
      </w:pPr>
      <w:r w:rsidRPr="00A808AF">
        <w:t>Questions</w:t>
      </w:r>
      <w:r w:rsidR="00A808AF" w:rsidRPr="00A808AF">
        <w:t xml:space="preserve"> on RFI</w:t>
      </w:r>
      <w:r w:rsidRPr="00A808AF">
        <w:t xml:space="preserve"> due</w:t>
      </w:r>
      <w:r w:rsidRPr="00A808AF">
        <w:tab/>
      </w:r>
      <w:r w:rsidR="00A808AF" w:rsidRPr="00A808AF">
        <w:t>June 1</w:t>
      </w:r>
      <w:r w:rsidR="003A1E23">
        <w:t>4</w:t>
      </w:r>
      <w:r w:rsidR="00A808AF" w:rsidRPr="00A808AF">
        <w:t>, 2017</w:t>
      </w:r>
    </w:p>
    <w:p w:rsidR="007B3E0A" w:rsidRPr="00A808AF" w:rsidRDefault="007B3E0A" w:rsidP="00030649">
      <w:pPr>
        <w:tabs>
          <w:tab w:val="left" w:leader="dot" w:pos="7200"/>
        </w:tabs>
        <w:ind w:left="720"/>
      </w:pPr>
      <w:r w:rsidRPr="00A808AF">
        <w:t>Responses to RFI due</w:t>
      </w:r>
      <w:r w:rsidR="00030649" w:rsidRPr="00A808AF">
        <w:tab/>
      </w:r>
      <w:r w:rsidR="003A1E23">
        <w:t>July 12</w:t>
      </w:r>
      <w:r w:rsidR="00A808AF" w:rsidRPr="00A808AF">
        <w:t>, 2017</w:t>
      </w:r>
    </w:p>
    <w:p w:rsidR="003A13FB" w:rsidRDefault="003A13FB" w:rsidP="00030649">
      <w:pPr>
        <w:tabs>
          <w:tab w:val="left" w:leader="dot" w:pos="7200"/>
        </w:tabs>
        <w:ind w:left="720"/>
      </w:pPr>
      <w:r w:rsidRPr="00A808AF">
        <w:t>Initial 2018 ETC Project Roadmap defined</w:t>
      </w:r>
      <w:r w:rsidRPr="00A808AF">
        <w:tab/>
        <w:t>Oct</w:t>
      </w:r>
      <w:r w:rsidR="00454C17" w:rsidRPr="00A808AF">
        <w:t>.</w:t>
      </w:r>
      <w:r w:rsidRPr="00A808AF">
        <w:t xml:space="preserve"> 2017</w:t>
      </w:r>
    </w:p>
    <w:p w:rsidR="002E06F7" w:rsidRDefault="002E06F7" w:rsidP="00030649">
      <w:pPr>
        <w:tabs>
          <w:tab w:val="left" w:leader="dot" w:pos="7200"/>
        </w:tabs>
        <w:ind w:left="720"/>
      </w:pPr>
      <w:r>
        <w:t>Notification of Next Steps</w:t>
      </w:r>
      <w:r>
        <w:tab/>
        <w:t>Oct</w:t>
      </w:r>
      <w:r w:rsidR="00454C17">
        <w:t>.</w:t>
      </w:r>
      <w:r>
        <w:t>/Nov</w:t>
      </w:r>
      <w:r w:rsidR="00454C17">
        <w:t>.</w:t>
      </w:r>
      <w:r>
        <w:t xml:space="preserve"> 2017</w:t>
      </w:r>
    </w:p>
    <w:p w:rsidR="00B364EF" w:rsidRPr="003A13FB" w:rsidRDefault="00B364EF" w:rsidP="003A13FB">
      <w:pPr>
        <w:tabs>
          <w:tab w:val="left" w:leader="dot" w:pos="7200"/>
        </w:tabs>
        <w:ind w:left="1440" w:right="1170"/>
        <w:jc w:val="both"/>
        <w:rPr>
          <w:i/>
        </w:rPr>
      </w:pPr>
      <w:r w:rsidRPr="003A13FB">
        <w:rPr>
          <w:i/>
        </w:rPr>
        <w:t xml:space="preserve">The initial 2018 ETC Project Roadmap will be defined at the ETC Board of Directors meeting in October 2017.  Following that meeting, </w:t>
      </w:r>
      <w:r w:rsidR="003A13FB" w:rsidRPr="003A13FB">
        <w:rPr>
          <w:i/>
        </w:rPr>
        <w:t xml:space="preserve">all respondents will be informed of next steps related to the </w:t>
      </w:r>
      <w:r w:rsidRPr="003A13FB">
        <w:rPr>
          <w:i/>
        </w:rPr>
        <w:t>Off-the-</w:t>
      </w:r>
      <w:r w:rsidR="003A13FB">
        <w:rPr>
          <w:i/>
        </w:rPr>
        <w:t>S</w:t>
      </w:r>
      <w:r w:rsidRPr="003A13FB">
        <w:rPr>
          <w:i/>
        </w:rPr>
        <w:t>helf Continuous Crystallizer Project</w:t>
      </w:r>
      <w:r w:rsidR="003A13FB">
        <w:rPr>
          <w:i/>
        </w:rPr>
        <w:t xml:space="preserve">.  </w:t>
      </w:r>
    </w:p>
    <w:p w:rsidR="00E55AF2" w:rsidRDefault="00E55AF2" w:rsidP="000F6030">
      <w:pPr>
        <w:tabs>
          <w:tab w:val="left" w:leader="dot" w:pos="7200"/>
        </w:tabs>
      </w:pPr>
    </w:p>
    <w:p w:rsidR="00DB0C76" w:rsidRPr="00DB0C76" w:rsidRDefault="00DB0C76" w:rsidP="0030651A">
      <w:pPr>
        <w:tabs>
          <w:tab w:val="left" w:leader="dot" w:pos="7200"/>
        </w:tabs>
        <w:ind w:left="720"/>
        <w:jc w:val="both"/>
        <w:rPr>
          <w:b/>
          <w:i/>
        </w:rPr>
      </w:pPr>
      <w:r w:rsidRPr="00DB0C76">
        <w:rPr>
          <w:b/>
          <w:i/>
        </w:rPr>
        <w:t>Please submit your response electronically to the above address.  Responses received after</w:t>
      </w:r>
      <w:r w:rsidRPr="00A808AF">
        <w:rPr>
          <w:b/>
          <w:i/>
        </w:rPr>
        <w:t xml:space="preserve"> </w:t>
      </w:r>
      <w:r w:rsidR="00F445C2">
        <w:rPr>
          <w:b/>
          <w:i/>
        </w:rPr>
        <w:t>July 12</w:t>
      </w:r>
      <w:r w:rsidR="00A808AF" w:rsidRPr="00A808AF">
        <w:rPr>
          <w:b/>
          <w:i/>
        </w:rPr>
        <w:t>, 2017</w:t>
      </w:r>
      <w:r w:rsidR="0061255B" w:rsidRPr="00A808AF">
        <w:rPr>
          <w:b/>
          <w:i/>
        </w:rPr>
        <w:t xml:space="preserve"> </w:t>
      </w:r>
      <w:r w:rsidRPr="00DB0C76">
        <w:rPr>
          <w:b/>
          <w:i/>
        </w:rPr>
        <w:t xml:space="preserve">will </w:t>
      </w:r>
      <w:r w:rsidR="00EA4184">
        <w:rPr>
          <w:b/>
          <w:bCs/>
          <w:i/>
          <w:iCs/>
        </w:rPr>
        <w:t>not benefit from full consideration and may be excluded from the selection process</w:t>
      </w:r>
      <w:r w:rsidR="00EA4184" w:rsidRPr="00DB0C76">
        <w:rPr>
          <w:b/>
          <w:i/>
        </w:rPr>
        <w:t>.</w:t>
      </w:r>
    </w:p>
    <w:p w:rsidR="0041230A" w:rsidRDefault="0041230A">
      <w:pPr>
        <w:rPr>
          <w:rFonts w:eastAsia="Times New Roman" w:cs="Times New Roman"/>
          <w:b/>
          <w:bCs/>
          <w:sz w:val="32"/>
          <w:szCs w:val="28"/>
        </w:rPr>
      </w:pPr>
    </w:p>
    <w:p w:rsidR="00AB2F00" w:rsidRDefault="00AB2F00">
      <w:pPr>
        <w:keepNext w:val="0"/>
        <w:keepLines w:val="0"/>
        <w:rPr>
          <w:rFonts w:eastAsia="Times New Roman" w:cs="Times New Roman"/>
          <w:b/>
          <w:bCs/>
          <w:sz w:val="32"/>
          <w:szCs w:val="28"/>
        </w:rPr>
      </w:pPr>
      <w:r>
        <w:br w:type="page"/>
      </w:r>
    </w:p>
    <w:p w:rsidR="00800F24" w:rsidRDefault="00800F24" w:rsidP="00E35722">
      <w:pPr>
        <w:pStyle w:val="Heading1"/>
      </w:pPr>
      <w:bookmarkStart w:id="8" w:name="_Toc482191663"/>
      <w:r w:rsidRPr="005B2898">
        <w:t xml:space="preserve">Project </w:t>
      </w:r>
      <w:r w:rsidRPr="00800F24">
        <w:t>Information</w:t>
      </w:r>
      <w:bookmarkEnd w:id="8"/>
    </w:p>
    <w:p w:rsidR="003D0260" w:rsidRDefault="00D36DE7" w:rsidP="00612F49">
      <w:pPr>
        <w:pStyle w:val="Heading2"/>
      </w:pPr>
      <w:bookmarkStart w:id="9" w:name="_Toc482191664"/>
      <w:r w:rsidRPr="005B2898">
        <w:t xml:space="preserve">Possible </w:t>
      </w:r>
      <w:r w:rsidRPr="00612F49">
        <w:t>Project</w:t>
      </w:r>
      <w:r w:rsidRPr="005B2898">
        <w:t xml:space="preserve"> </w:t>
      </w:r>
      <w:r w:rsidRPr="003A4041">
        <w:t>Sponsors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2F49" w:rsidTr="003A13FB">
        <w:trPr>
          <w:trHeight w:val="576"/>
        </w:trPr>
        <w:tc>
          <w:tcPr>
            <w:tcW w:w="9576" w:type="dxa"/>
            <w:shd w:val="clear" w:color="auto" w:fill="D9D9D9" w:themeFill="background1" w:themeFillShade="D9"/>
          </w:tcPr>
          <w:p w:rsidR="00612F49" w:rsidRPr="005B2898" w:rsidRDefault="003A13FB" w:rsidP="00A20DA1">
            <w:r>
              <w:t>AbbVie, Amgen, AstraZeneca, Biogen, Boehringer Ingelheim, BMS, Eli Lilly, GSK, Merck</w:t>
            </w:r>
            <w:r w:rsidR="00AB2F00">
              <w:t xml:space="preserve"> &amp; Co.</w:t>
            </w:r>
            <w:r>
              <w:t>, Pfizer, Takeda</w:t>
            </w:r>
          </w:p>
        </w:tc>
      </w:tr>
    </w:tbl>
    <w:p w:rsidR="00612F49" w:rsidRDefault="00D36DE7" w:rsidP="00612F49">
      <w:pPr>
        <w:pStyle w:val="Heading2"/>
      </w:pPr>
      <w:bookmarkStart w:id="10" w:name="_Toc482191665"/>
      <w:r w:rsidRPr="005B2898">
        <w:t>Description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2F49" w:rsidTr="00A20DA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3A13FB" w:rsidRDefault="003A13FB" w:rsidP="003A13FB">
            <w:pPr>
              <w:contextualSpacing/>
            </w:pPr>
            <w:r>
              <w:t xml:space="preserve">Off-the-shelf continuous crystallizers are not commercially available.  The current approach is to custom-build equipment using readily available parts from different </w:t>
            </w:r>
            <w:r w:rsidR="00AB2F00">
              <w:t>3rd parties</w:t>
            </w:r>
            <w:r>
              <w:t>.  There are many disadvantages to the custom-build approach:</w:t>
            </w:r>
          </w:p>
          <w:p w:rsidR="003A13FB" w:rsidRDefault="003A13FB" w:rsidP="003A13FB">
            <w:pPr>
              <w:pStyle w:val="ListParagraph"/>
              <w:keepNext w:val="0"/>
              <w:keepLines w:val="0"/>
              <w:numPr>
                <w:ilvl w:val="0"/>
                <w:numId w:val="6"/>
              </w:numPr>
            </w:pPr>
            <w:r>
              <w:t>There is no detailed approach on exact details of what to build.  The custom-build approach is time-consuming and logistically difficult to plan.</w:t>
            </w:r>
          </w:p>
          <w:p w:rsidR="003A13FB" w:rsidRDefault="00335F23" w:rsidP="003A13FB">
            <w:pPr>
              <w:pStyle w:val="ListParagraph"/>
              <w:keepNext w:val="0"/>
              <w:keepLines w:val="0"/>
              <w:numPr>
                <w:ilvl w:val="0"/>
                <w:numId w:val="6"/>
              </w:numPr>
            </w:pPr>
            <w:r>
              <w:t>Equipment sustainability:</w:t>
            </w:r>
            <w:r w:rsidR="003A13FB">
              <w:t xml:space="preserve">  Hardware and software maintenance over time can be challenging.</w:t>
            </w:r>
          </w:p>
          <w:p w:rsidR="003A13FB" w:rsidRDefault="003A13FB" w:rsidP="003A13FB">
            <w:pPr>
              <w:pStyle w:val="ListParagraph"/>
              <w:keepNext w:val="0"/>
              <w:keepLines w:val="0"/>
              <w:numPr>
                <w:ilvl w:val="0"/>
                <w:numId w:val="6"/>
              </w:numPr>
            </w:pPr>
            <w:r>
              <w:t>Variability in approaches, equipment sizes, parts, data logging and control software can lead to observations that are user-specific and</w:t>
            </w:r>
            <w:r w:rsidR="00335F23">
              <w:t xml:space="preserve"> may</w:t>
            </w:r>
            <w:r>
              <w:t xml:space="preserve"> not necessarily create learnings useful to the scientific community in general.</w:t>
            </w:r>
          </w:p>
          <w:p w:rsidR="003A13FB" w:rsidRDefault="003A13FB" w:rsidP="003A13FB">
            <w:pPr>
              <w:pStyle w:val="ListParagraph"/>
              <w:keepNext w:val="0"/>
              <w:keepLines w:val="0"/>
              <w:numPr>
                <w:ilvl w:val="0"/>
                <w:numId w:val="6"/>
              </w:numPr>
            </w:pPr>
            <w:r>
              <w:t>Variability in what is deemed “all necessary and salient process data” to make process design and troubleshooting decisions from.</w:t>
            </w:r>
          </w:p>
          <w:p w:rsidR="003A13FB" w:rsidRDefault="003A13FB" w:rsidP="003A13FB"/>
          <w:p w:rsidR="00612F49" w:rsidRPr="005B2898" w:rsidRDefault="003A13FB" w:rsidP="003A13FB">
            <w:r>
              <w:t xml:space="preserve">This project will be conducted in collaboration between ETC and the selected </w:t>
            </w:r>
            <w:r w:rsidR="00AB2F00">
              <w:t>3rd party</w:t>
            </w:r>
            <w:r>
              <w:t xml:space="preserve">.  Throughout the duration of this project, ETC and the </w:t>
            </w:r>
            <w:r w:rsidR="00AB2F00">
              <w:t>3rd party</w:t>
            </w:r>
            <w:r>
              <w:t xml:space="preserve"> will work together to develop the desired Continuous Crystallizer platform.  ETC will supply the </w:t>
            </w:r>
            <w:r w:rsidR="00335F23">
              <w:t xml:space="preserve">selected </w:t>
            </w:r>
            <w:r w:rsidR="00AB2F00">
              <w:t>3rd party</w:t>
            </w:r>
            <w:r>
              <w:t xml:space="preserve"> with a comprehensive list of requirements, subject matter expertise, and funding to support this project.  The </w:t>
            </w:r>
            <w:r w:rsidR="00335F23">
              <w:t xml:space="preserve">selected </w:t>
            </w:r>
            <w:r w:rsidR="00AB2F00">
              <w:t>3rd party</w:t>
            </w:r>
            <w:r>
              <w:t xml:space="preserve"> will supply the resources and expertise to design, prototype and ultimately produce a continuous crystallizer laboratory reactor skid.  Upon completion of the project, it is anticipated that the continuous crystallizer will be made available to the scientific community as a commercialized product.</w:t>
            </w:r>
          </w:p>
        </w:tc>
      </w:tr>
    </w:tbl>
    <w:p w:rsidR="00CC54AC" w:rsidRPr="005B2898" w:rsidRDefault="00AB2F00" w:rsidP="00AB2F00">
      <w:pPr>
        <w:pStyle w:val="Heading2"/>
      </w:pPr>
      <w:bookmarkStart w:id="11" w:name="_Toc482191666"/>
      <w:r w:rsidRPr="00AB2F00">
        <w:t>Off-the-Shelf Continuous Crystallizer</w:t>
      </w:r>
      <w:r>
        <w:t xml:space="preserve"> </w:t>
      </w:r>
      <w:r w:rsidR="00530F7B" w:rsidRPr="005B2898">
        <w:t>R</w:t>
      </w:r>
      <w:r w:rsidR="00CC54AC" w:rsidRPr="005B2898">
        <w:t>equirements</w:t>
      </w:r>
      <w:bookmarkEnd w:id="11"/>
    </w:p>
    <w:p w:rsidR="0079761E" w:rsidRPr="0030651A" w:rsidRDefault="004C14EF" w:rsidP="00612F49">
      <w:pPr>
        <w:pStyle w:val="Heading3"/>
      </w:pPr>
      <w:bookmarkStart w:id="12" w:name="_Toc482191667"/>
      <w:r w:rsidRPr="0030651A">
        <w:t xml:space="preserve">Necessary </w:t>
      </w:r>
      <w:r w:rsidR="0079761E" w:rsidRPr="0030651A">
        <w:t xml:space="preserve">Hardware and </w:t>
      </w:r>
      <w:r w:rsidR="0079761E" w:rsidRPr="00612F49">
        <w:t>Software</w:t>
      </w:r>
      <w:r w:rsidR="0079761E" w:rsidRPr="0030651A">
        <w:t xml:space="preserve"> Requirement</w:t>
      </w:r>
      <w:r w:rsidRPr="0030651A">
        <w:t>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AB2F00" w:rsidRPr="009E561D" w:rsidRDefault="00AB2F00" w:rsidP="00AB2F00">
            <w:pPr>
              <w:rPr>
                <w:b/>
                <w:u w:val="single"/>
              </w:rPr>
            </w:pPr>
            <w:r w:rsidRPr="009E561D">
              <w:rPr>
                <w:b/>
                <w:u w:val="single"/>
              </w:rPr>
              <w:t>Hardware</w:t>
            </w:r>
          </w:p>
          <w:p w:rsidR="00AB2F00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Ability to work with crystallizer sizes (50-1000 mL), types, baffles, stirrer types/mixing elements.  </w:t>
            </w:r>
          </w:p>
          <w:p w:rsidR="00AB2F00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All components would be modular with multiple configurations, drop-in vessels and simple connections between components with options to purchase vessels and parts from multiple vendors.</w:t>
            </w:r>
          </w:p>
          <w:p w:rsidR="00AB2F00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The equipment will be a complete system to study continuous crystallization rather than merely a communication interface connected to custom-built flow equipment.  </w:t>
            </w:r>
          </w:p>
          <w:p w:rsidR="00AB2F00" w:rsidRPr="0040121A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40121A">
              <w:t xml:space="preserve">Ability to produce mass rates from 10 g/d to 1000 g/d and suitable to replicate equipment for manufacturing scale.  </w:t>
            </w:r>
          </w:p>
          <w:p w:rsidR="0040121A" w:rsidRDefault="00AB2F00" w:rsidP="0040121A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40121A">
              <w:t>Vessels transfer fluid using options as seen appropriate without affecting the phys</w:t>
            </w:r>
            <w:r w:rsidR="002E1A77" w:rsidRPr="0040121A">
              <w:t>ical properties of the slurry.</w:t>
            </w:r>
          </w:p>
          <w:p w:rsidR="009E561D" w:rsidRPr="0040121A" w:rsidRDefault="00AB2F00" w:rsidP="0040121A">
            <w:pPr>
              <w:pStyle w:val="ListParagraph"/>
              <w:numPr>
                <w:ilvl w:val="1"/>
                <w:numId w:val="7"/>
              </w:numPr>
            </w:pPr>
            <w:r w:rsidRPr="0040121A">
              <w:t>It is not a requirement (nor an expectation) that the transfer of slurries between vessels be truly continuous (i.e., discretized transfer in “slugs” could be acceptable if properly managed).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Ability to easily control the reactor temperature ranging from at least -20 to 100°C, stirring rate, inlet/exit flowrate, recycle ratio, residence time and throughput, metering in solids.  </w:t>
            </w:r>
          </w:p>
          <w:p w:rsidR="009E561D" w:rsidRDefault="009E561D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M</w:t>
            </w:r>
            <w:r w:rsidR="00AB2F00">
              <w:t>anual sampling from the reactor(s) should also be easily achievable.</w:t>
            </w:r>
          </w:p>
          <w:p w:rsidR="009E561D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The materials of construction for the reactor and transfer lines should be suitable to accommodate concentrated acids, bases, aggressive organic solvents, and temperature ranges.</w:t>
            </w:r>
          </w:p>
          <w:p w:rsidR="009E561D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Ability to generate supersaturation by cooling, anti-solvent addition, salt formation, salt breaking (via acid/base addition) and evaporation.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Ability to nucleate the system via seeding, sonication and high-shear wet-milling or add a third party device with industry standard communication protocols.  Nucleation devices need to be able to turned on and off according to user-input timing sequences.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Ability to add or remove residence time easily (via adding/removing modular units), add multiple measurement points, and multiple anti-solvent points.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The exit stream contents should be representative of the bulk reactor contents and the transfer streams need to remain fully suspended.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Feed lines and transfer lines need temperature control.    Feeds and transfers can be with strictly continuous flow or intermittent batch transfers if performed at intervals that don’t impact process performance.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Ability to use controlled recirculation loops.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Ability to easily visualize the reactor geometry and its reactor contents, either through a view cell, wall/window or an in-situ process microscope.</w:t>
            </w:r>
          </w:p>
          <w:p w:rsidR="00AB2F00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All necessary instrumentation available including temperature, pressure, pH, RPM, flowrate.</w:t>
            </w:r>
          </w:p>
          <w:p w:rsidR="009E561D" w:rsidRDefault="00AB2F00" w:rsidP="009E561D">
            <w:pPr>
              <w:ind w:left="360"/>
            </w:pPr>
            <w:r>
              <w:t>Ability to use with at least two in-situ process monitoring tools with standard inlet sizes and fittings, or with an external loop.</w:t>
            </w:r>
          </w:p>
          <w:p w:rsidR="00AB2F00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Couple with a holding tank (diversion) or a continuous-isolation laboratory skid (recovery).</w:t>
            </w:r>
          </w:p>
          <w:p w:rsidR="009E561D" w:rsidRDefault="00AB2F00" w:rsidP="00AB2F00">
            <w:pPr>
              <w:ind w:left="360"/>
            </w:pPr>
            <w:r>
              <w:t>Ability to control crystallizer headspace conditions, such as nitrogen inerting.</w:t>
            </w:r>
          </w:p>
          <w:p w:rsidR="009E561D" w:rsidRDefault="00AB2F00" w:rsidP="009E561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Ability to fit the entire kit into a standard chemical fumehood, including plug and play with standard hood utilities (nitrogen, vacuum, heating/cooling fluid,…).  </w:t>
            </w:r>
          </w:p>
          <w:p w:rsidR="00D223A9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The equipment should be able to handle and transfer hazardous compounds (personal exposure of &lt; 5 </w:t>
            </w:r>
            <w:r w:rsidRPr="009E561D">
              <w:rPr>
                <w:rFonts w:ascii="Symbol" w:hAnsi="Symbol"/>
              </w:rPr>
              <w:t></w:t>
            </w:r>
            <w:r>
              <w:t>g/m</w:t>
            </w:r>
            <w:r w:rsidRPr="009E561D">
              <w:rPr>
                <w:vertAlign w:val="superscript"/>
              </w:rPr>
              <w:t>3</w:t>
            </w:r>
            <w:r>
              <w:t xml:space="preserve">), be sealed, exhibit minimal solvent loss and allow for safe unmanned operations for at least 16 h.  </w:t>
            </w:r>
          </w:p>
          <w:p w:rsidR="009E561D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The systems should also be designed for automated event notification and shutdown.</w:t>
            </w:r>
          </w:p>
          <w:p w:rsidR="009E561D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Replacement reactor parts lists should be readily available and options of who to buy from also easily available</w:t>
            </w:r>
          </w:p>
          <w:p w:rsidR="009E561D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Cleaning the equipment should not require significant effort.</w:t>
            </w:r>
          </w:p>
          <w:p w:rsidR="00AB2F00" w:rsidRDefault="00AB2F00" w:rsidP="00AB2F00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 service contract should be available to maintain all equipment and software.</w:t>
            </w:r>
          </w:p>
          <w:p w:rsidR="009E561D" w:rsidRDefault="009E561D" w:rsidP="009E561D">
            <w:pPr>
              <w:pStyle w:val="ListParagraph"/>
              <w:ind w:left="360"/>
            </w:pPr>
          </w:p>
          <w:p w:rsidR="0040121A" w:rsidRDefault="0040121A" w:rsidP="009E561D">
            <w:pPr>
              <w:pStyle w:val="ListParagraph"/>
              <w:ind w:left="360"/>
            </w:pPr>
          </w:p>
          <w:p w:rsidR="00AB2F00" w:rsidRPr="009E561D" w:rsidRDefault="00AB2F00" w:rsidP="00AB2F00">
            <w:pPr>
              <w:rPr>
                <w:b/>
                <w:u w:val="single"/>
              </w:rPr>
            </w:pPr>
            <w:r w:rsidRPr="009E561D">
              <w:rPr>
                <w:b/>
                <w:u w:val="single"/>
              </w:rPr>
              <w:t>Software</w:t>
            </w:r>
          </w:p>
          <w:p w:rsidR="00BC2AC7" w:rsidRDefault="00AB2F00" w:rsidP="00BC2AC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Ability to create an experimental control file that generates a raw data file and a report suitable for use as or incorporation into an electronic notebook and into company repositories.  </w:t>
            </w:r>
          </w:p>
          <w:p w:rsidR="00BC2AC7" w:rsidRDefault="00AB2F00" w:rsidP="00BC2AC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Software should function within the constraints of the local IT requirements at each company.  </w:t>
            </w:r>
          </w:p>
          <w:p w:rsidR="00BC2AC7" w:rsidRDefault="00AB2F00" w:rsidP="00AB2F00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Qualification should be provided for all controls/systems with specific calibration frequency.</w:t>
            </w:r>
          </w:p>
          <w:p w:rsidR="00BC2AC7" w:rsidRDefault="00AB2F00" w:rsidP="00AB2F00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Ability to export process data into standard formats (.txt, .csv,…) suitable for data processing and modeling tools.</w:t>
            </w:r>
          </w:p>
          <w:p w:rsidR="00BC2AC7" w:rsidRDefault="00AB2F00" w:rsidP="00BC2AC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Ability to easily merge data with standard process analytical technology tools offline.</w:t>
            </w:r>
          </w:p>
          <w:p w:rsidR="00BC2AC7" w:rsidRDefault="00AB2F00" w:rsidP="00BC2AC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Trending should include temperature, pressure, dosing, transfer rates.  Control should be programmable or recipe driven, however, parameters or procedures can be changed during experimentation.</w:t>
            </w:r>
          </w:p>
          <w:p w:rsidR="00530F7B" w:rsidRPr="005B2898" w:rsidRDefault="00AB2F00" w:rsidP="00612F49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The software should invoke emergency shutdown procedures based on practical measures such as reactor temperature, reactor and wall temperature differential, pressure,…</w:t>
            </w:r>
          </w:p>
        </w:tc>
      </w:tr>
    </w:tbl>
    <w:p w:rsidR="00E30133" w:rsidRPr="005B2898" w:rsidRDefault="00E30133" w:rsidP="00612F49">
      <w:pPr>
        <w:pStyle w:val="Heading3"/>
      </w:pPr>
      <w:bookmarkStart w:id="13" w:name="_Toc482191668"/>
      <w:r w:rsidRPr="005B2898">
        <w:t xml:space="preserve">Optional </w:t>
      </w:r>
      <w:r w:rsidR="004C14EF" w:rsidRPr="005B2898">
        <w:t xml:space="preserve">Hardware and Software </w:t>
      </w:r>
      <w:r w:rsidRPr="005B2898">
        <w:t>Requirements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0133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836174" w:rsidRPr="00836174" w:rsidRDefault="00836174" w:rsidP="00836174">
            <w:pPr>
              <w:rPr>
                <w:b/>
                <w:u w:val="single"/>
              </w:rPr>
            </w:pPr>
            <w:r w:rsidRPr="00836174">
              <w:rPr>
                <w:b/>
                <w:u w:val="single"/>
              </w:rPr>
              <w:t>Hardware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Ability to change feed flow and recycle addition points (sub-surface or above surface)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Exit streams and transfer line should handle slurries with up to 50% solid mass, particle size up to 500</w:t>
            </w:r>
            <w:r w:rsidRPr="00836174">
              <w:rPr>
                <w:rFonts w:ascii="Symbol" w:hAnsi="Symbol"/>
              </w:rPr>
              <w:t></w:t>
            </w:r>
            <w:r>
              <w:t>m) during transfer with minimal or no impact to the PSD.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Clean-in-place capability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Portable – the ability to assemble, disassemble and reassemble for moving and storage should not require chemical fumehood modifications or significant vendor support.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Use in a cGMP environment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Ability to recycle a solids-free (mother liquor) stream from exit stream back to inlet ports anywhere upstream or downstream</w:t>
            </w:r>
          </w:p>
          <w:p w:rsidR="00836174" w:rsidRDefault="00836174" w:rsidP="00836174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Ability to use in-situ or recirculation loops utilizing high shear dispersers and maintain temperature control.</w:t>
            </w:r>
          </w:p>
          <w:p w:rsidR="00836174" w:rsidRDefault="00836174" w:rsidP="00836174">
            <w:pPr>
              <w:pStyle w:val="ListParagraph"/>
              <w:ind w:left="360"/>
            </w:pPr>
          </w:p>
          <w:p w:rsidR="00335F23" w:rsidRDefault="00836174" w:rsidP="00335F23">
            <w:pPr>
              <w:rPr>
                <w:b/>
                <w:u w:val="single"/>
              </w:rPr>
            </w:pPr>
            <w:r w:rsidRPr="00836174">
              <w:rPr>
                <w:b/>
                <w:u w:val="single"/>
              </w:rPr>
              <w:t>Software</w:t>
            </w:r>
          </w:p>
          <w:p w:rsidR="00836174" w:rsidRPr="00335F23" w:rsidRDefault="00836174" w:rsidP="00335F23">
            <w:pPr>
              <w:pStyle w:val="ListParagraph"/>
              <w:numPr>
                <w:ilvl w:val="0"/>
                <w:numId w:val="14"/>
              </w:numPr>
              <w:ind w:left="360"/>
              <w:rPr>
                <w:b/>
                <w:u w:val="single"/>
              </w:rPr>
            </w:pPr>
            <w:r w:rsidRPr="00335F23">
              <w:t>Ability to easily merge process analytical technology tools data online</w:t>
            </w:r>
            <w:r w:rsidR="00D36AE9" w:rsidRPr="00335F23">
              <w:t xml:space="preserve"> with a vision to become Allotrope compliant.</w:t>
            </w:r>
          </w:p>
          <w:p w:rsidR="00D36AE9" w:rsidRPr="005B2898" w:rsidRDefault="00836174" w:rsidP="00D36AE9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Ability to integrate unit with higher level automation, such as DCS (distributed control systems).</w:t>
            </w:r>
          </w:p>
        </w:tc>
      </w:tr>
    </w:tbl>
    <w:p w:rsidR="00CC54AC" w:rsidRPr="005B2898" w:rsidRDefault="00530F7B" w:rsidP="00612F49">
      <w:pPr>
        <w:pStyle w:val="Heading3"/>
      </w:pPr>
      <w:bookmarkStart w:id="14" w:name="_Toc482191669"/>
      <w:r w:rsidRPr="005B2898">
        <w:t>Availability Requirements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:rsidTr="00836174">
        <w:trPr>
          <w:trHeight w:val="1296"/>
        </w:trPr>
        <w:tc>
          <w:tcPr>
            <w:tcW w:w="9576" w:type="dxa"/>
            <w:shd w:val="clear" w:color="auto" w:fill="D9D9D9" w:themeFill="background1" w:themeFillShade="D9"/>
          </w:tcPr>
          <w:p w:rsidR="00836174" w:rsidRDefault="00836174" w:rsidP="00836174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836174">
              <w:t xml:space="preserve">The expected output is a commercially available mixed-suspension mixed-product-removal crystallizer.  Plug-flow or oscillatory-baffled reactors are also acceptable options.  </w:t>
            </w:r>
          </w:p>
          <w:p w:rsidR="00ED4902" w:rsidRPr="005B2898" w:rsidRDefault="00836174" w:rsidP="00836174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836174">
              <w:t>Timing for development and availability can be negotiated.  The vendor must be open to feedback on the roadmap to product delivery.</w:t>
            </w:r>
          </w:p>
        </w:tc>
      </w:tr>
    </w:tbl>
    <w:p w:rsidR="00836174" w:rsidRDefault="00836174">
      <w:pPr>
        <w:keepNext w:val="0"/>
        <w:keepLines w:val="0"/>
        <w:rPr>
          <w:rFonts w:eastAsia="Times New Roman" w:cs="Times New Roman"/>
          <w:b/>
          <w:bCs/>
        </w:rPr>
      </w:pPr>
    </w:p>
    <w:p w:rsidR="00530F7B" w:rsidRPr="005B2898" w:rsidRDefault="00986B27" w:rsidP="00612F49">
      <w:pPr>
        <w:pStyle w:val="Heading3"/>
      </w:pPr>
      <w:bookmarkStart w:id="15" w:name="_Toc482191670"/>
      <w:r w:rsidRPr="005B2898">
        <w:t>Licensing</w:t>
      </w:r>
      <w:r w:rsidR="00530F7B" w:rsidRPr="005B2898">
        <w:t xml:space="preserve"> Requirements</w:t>
      </w:r>
      <w:r w:rsidR="003B2215" w:rsidRPr="005B2898">
        <w:t xml:space="preserve"> for Commercialized Product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836174" w:rsidRDefault="00836174" w:rsidP="008361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Commercially available continuous-stirred tank reactor.  </w:t>
            </w:r>
          </w:p>
          <w:p w:rsidR="003B2215" w:rsidRDefault="00836174" w:rsidP="008361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IP is owned by the vendor.</w:t>
            </w:r>
          </w:p>
          <w:p w:rsidR="00836174" w:rsidRPr="005B2898" w:rsidRDefault="00836174" w:rsidP="00F979BF"/>
        </w:tc>
      </w:tr>
    </w:tbl>
    <w:p w:rsidR="003F73F1" w:rsidRPr="005B2898" w:rsidRDefault="003F73F1" w:rsidP="00612F49">
      <w:pPr>
        <w:pStyle w:val="Heading1"/>
      </w:pPr>
      <w:bookmarkStart w:id="16" w:name="_Toc482191671"/>
      <w:r w:rsidRPr="005B2898">
        <w:t>Criteria for Evaluation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:rsidTr="007474D0">
        <w:trPr>
          <w:trHeight w:val="1152"/>
        </w:trPr>
        <w:tc>
          <w:tcPr>
            <w:tcW w:w="9576" w:type="dxa"/>
            <w:shd w:val="clear" w:color="auto" w:fill="D9D9D9" w:themeFill="background1" w:themeFillShade="D9"/>
          </w:tcPr>
          <w:p w:rsidR="007474D0" w:rsidRDefault="007474D0" w:rsidP="00431E9B">
            <w:r>
              <w:t xml:space="preserve">The ETC will evaluate the responses to this RFI based on the </w:t>
            </w:r>
            <w:r w:rsidR="00AB2F00">
              <w:t>3rd party</w:t>
            </w:r>
            <w:r>
              <w:t>’s ability to:</w:t>
            </w:r>
          </w:p>
          <w:p w:rsidR="00034A4B" w:rsidRDefault="00034A4B" w:rsidP="00431E9B">
            <w:pPr>
              <w:pStyle w:val="ListParagraph"/>
              <w:numPr>
                <w:ilvl w:val="0"/>
                <w:numId w:val="5"/>
              </w:numPr>
            </w:pPr>
            <w:r w:rsidRPr="00034A4B">
              <w:t>Provide response with desire to participate in collaboration.</w:t>
            </w:r>
          </w:p>
          <w:p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Meet the functional</w:t>
            </w:r>
            <w:r w:rsidR="00570E73">
              <w:t>, performance,</w:t>
            </w:r>
            <w:r>
              <w:t xml:space="preserve"> and technical requirements described in this RFI as evidenced by the RFI response and presentations made to ETC</w:t>
            </w:r>
            <w:r w:rsidR="00951FA4">
              <w:t>.</w:t>
            </w:r>
          </w:p>
          <w:p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 cost-effective solution </w:t>
            </w:r>
            <w:r w:rsidR="00A62917">
              <w:t>th</w:t>
            </w:r>
            <w:r w:rsidR="00D96561">
              <w:t xml:space="preserve">at </w:t>
            </w:r>
            <w:r w:rsidR="00A62917">
              <w:t>is compatible with the goals of the project</w:t>
            </w:r>
            <w:r w:rsidR="00295455">
              <w:t>.</w:t>
            </w:r>
          </w:p>
          <w:p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 domain expertise and an ability to work collaboratively with </w:t>
            </w:r>
            <w:r w:rsidR="005F6ED1">
              <w:t xml:space="preserve">the </w:t>
            </w:r>
            <w:r>
              <w:t>ETC in development of the</w:t>
            </w:r>
            <w:r w:rsidR="00D96561">
              <w:t xml:space="preserve"> </w:t>
            </w:r>
            <w:r w:rsidR="00F979BF">
              <w:t>Off-the-shelf Continuous Crystallizer</w:t>
            </w:r>
            <w:r w:rsidR="00570E73">
              <w:t>.</w:t>
            </w:r>
          </w:p>
          <w:p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Provide a superior level of customer service and technical support, both pre-installation and post-installation to clients</w:t>
            </w:r>
            <w:r w:rsidR="00D36DE7">
              <w:t>.</w:t>
            </w:r>
          </w:p>
          <w:p w:rsidR="007474D0" w:rsidRDefault="007576AB" w:rsidP="00431E9B">
            <w:pPr>
              <w:pStyle w:val="ListParagraph"/>
              <w:numPr>
                <w:ilvl w:val="0"/>
                <w:numId w:val="5"/>
              </w:numPr>
            </w:pPr>
            <w:r>
              <w:t>Discuss potential</w:t>
            </w:r>
            <w:r w:rsidR="00C43D5E" w:rsidRPr="00C43D5E">
              <w:t xml:space="preserve"> partnerships</w:t>
            </w:r>
            <w:r>
              <w:t xml:space="preserve"> and</w:t>
            </w:r>
            <w:r w:rsidR="00C43D5E">
              <w:t xml:space="preserve"> current development efforts that show similarities to this request. </w:t>
            </w:r>
          </w:p>
          <w:p w:rsidR="007576AB" w:rsidRDefault="00534AEF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any additional capabilities that may differentiate </w:t>
            </w:r>
            <w:r w:rsidR="007643BF">
              <w:t xml:space="preserve">them </w:t>
            </w:r>
            <w:r>
              <w:t xml:space="preserve">from other </w:t>
            </w:r>
            <w:r w:rsidR="007643BF">
              <w:t xml:space="preserve">potential </w:t>
            </w:r>
            <w:r>
              <w:t xml:space="preserve">collaborators. </w:t>
            </w:r>
          </w:p>
          <w:p w:rsidR="002618B6" w:rsidRDefault="002618B6" w:rsidP="002618B6"/>
          <w:p w:rsidR="002618B6" w:rsidRDefault="002618B6" w:rsidP="00516E52">
            <w:r>
              <w:t xml:space="preserve">The ETC will not be able to provide individual feedback </w:t>
            </w:r>
            <w:r w:rsidR="00516E52">
              <w:t>to RFI respondents</w:t>
            </w:r>
            <w:r>
              <w:t>.</w:t>
            </w:r>
          </w:p>
        </w:tc>
      </w:tr>
    </w:tbl>
    <w:p w:rsidR="003F73F1" w:rsidRPr="005B2898" w:rsidRDefault="0035165F" w:rsidP="001A2959">
      <w:pPr>
        <w:pStyle w:val="Heading1"/>
      </w:pPr>
      <w:bookmarkStart w:id="17" w:name="_Toc482191672"/>
      <w:r w:rsidRPr="005B2898">
        <w:t>Respondent</w:t>
      </w:r>
      <w:r w:rsidR="003F73F1" w:rsidRPr="005B2898">
        <w:t xml:space="preserve"> Profile</w:t>
      </w:r>
      <w:r w:rsidR="00E05D95">
        <w:t xml:space="preserve"> </w:t>
      </w:r>
      <w:r w:rsidR="00E05D95" w:rsidRPr="00E14D75">
        <w:rPr>
          <w:i/>
          <w:sz w:val="22"/>
        </w:rPr>
        <w:t>(to be completed by RFI respondent)</w:t>
      </w:r>
      <w:bookmarkEnd w:id="17"/>
    </w:p>
    <w:p w:rsidR="008A5A5E" w:rsidRDefault="008A5A5E" w:rsidP="0030651A">
      <w:pPr>
        <w:jc w:val="both"/>
      </w:pPr>
      <w:r>
        <w:t>Please provide information to the following:</w:t>
      </w:r>
    </w:p>
    <w:p w:rsidR="008A5A5E" w:rsidRPr="005B2898" w:rsidRDefault="0035165F" w:rsidP="00612F49">
      <w:pPr>
        <w:pStyle w:val="Heading2"/>
      </w:pPr>
      <w:bookmarkStart w:id="18" w:name="_Toc482191673"/>
      <w:r w:rsidRPr="005B2898">
        <w:t xml:space="preserve">Company/Organization </w:t>
      </w:r>
      <w:r w:rsidR="008A5A5E" w:rsidRPr="005B2898">
        <w:t>Information</w:t>
      </w:r>
      <w:bookmarkEnd w:id="18"/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3348"/>
        <w:gridCol w:w="5130"/>
      </w:tblGrid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Company</w:t>
            </w:r>
            <w:r w:rsidR="0035165F">
              <w:t>/Organization</w:t>
            </w:r>
            <w:r>
              <w:t xml:space="preserve"> 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City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State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Country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Zip Code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  <w:tr w:rsidR="008A5A5E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A5E" w:rsidRDefault="008A5A5E" w:rsidP="008A5A5E">
            <w:pPr>
              <w:jc w:val="right"/>
            </w:pPr>
            <w:r>
              <w:t>Website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A5E" w:rsidRDefault="008A5A5E" w:rsidP="008A5A5E"/>
        </w:tc>
      </w:tr>
    </w:tbl>
    <w:p w:rsidR="008A5A5E" w:rsidRPr="008A5A5E" w:rsidRDefault="008A5A5E" w:rsidP="008A5A5E">
      <w:pPr>
        <w:ind w:left="567"/>
      </w:pPr>
    </w:p>
    <w:p w:rsidR="00FC061E" w:rsidRPr="005B2898" w:rsidRDefault="00DA08DA" w:rsidP="00612F49">
      <w:pPr>
        <w:pStyle w:val="Heading2"/>
      </w:pPr>
      <w:bookmarkStart w:id="19" w:name="_Toc482191674"/>
      <w:r w:rsidRPr="005B2898">
        <w:t>Primary Contact Person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130"/>
      </w:tblGrid>
      <w:tr w:rsidR="00DA08DA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8DA" w:rsidRDefault="00DA08DA" w:rsidP="00DA08DA">
            <w:pPr>
              <w:jc w:val="right"/>
            </w:pPr>
            <w:r>
              <w:t>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8DA" w:rsidRDefault="00DA08DA" w:rsidP="00DA08DA"/>
        </w:tc>
      </w:tr>
      <w:tr w:rsidR="00DA08DA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8DA" w:rsidRDefault="00DA08DA" w:rsidP="00DA08DA">
            <w:pPr>
              <w:jc w:val="right"/>
            </w:pPr>
            <w:r>
              <w:t>Title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8DA" w:rsidRDefault="00DA08DA" w:rsidP="00DA08DA"/>
        </w:tc>
      </w:tr>
      <w:tr w:rsidR="00DA08DA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8DA" w:rsidRDefault="00DA08DA" w:rsidP="00DA08DA">
            <w:pPr>
              <w:jc w:val="right"/>
            </w:pPr>
            <w:r>
              <w:t>Email 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8DA" w:rsidRDefault="00DA08DA" w:rsidP="00DA08DA"/>
        </w:tc>
      </w:tr>
      <w:tr w:rsidR="00DA08DA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8DA" w:rsidRDefault="00DA08DA" w:rsidP="00DA08DA">
            <w:pPr>
              <w:jc w:val="right"/>
            </w:pPr>
            <w:r>
              <w:t>Phone 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8DA" w:rsidRDefault="00DA08DA" w:rsidP="00DA08DA"/>
        </w:tc>
      </w:tr>
    </w:tbl>
    <w:p w:rsidR="00DA08DA" w:rsidRPr="00DA08DA" w:rsidRDefault="00DA08DA" w:rsidP="00DA08DA"/>
    <w:p w:rsidR="00FC061E" w:rsidRPr="005B2898" w:rsidRDefault="0035165F" w:rsidP="00612F49">
      <w:pPr>
        <w:pStyle w:val="Heading2"/>
      </w:pPr>
      <w:bookmarkStart w:id="20" w:name="_Toc482191675"/>
      <w:r w:rsidRPr="005B2898">
        <w:t xml:space="preserve">Company/Organization </w:t>
      </w:r>
      <w:r w:rsidR="00DA08DA" w:rsidRPr="005B2898">
        <w:t>Overview</w:t>
      </w:r>
      <w:bookmarkEnd w:id="20"/>
    </w:p>
    <w:p w:rsidR="00D15344" w:rsidRDefault="00FC061E" w:rsidP="0030651A">
      <w:pPr>
        <w:jc w:val="both"/>
      </w:pPr>
      <w:r>
        <w:t>Provide a brief overview of your company</w:t>
      </w:r>
      <w:r w:rsidR="0018268D">
        <w:t>/organization</w:t>
      </w:r>
      <w:r>
        <w:t xml:space="preserve"> including number of years in business, number of</w:t>
      </w:r>
      <w:r w:rsidR="00DA08DA">
        <w:t xml:space="preserve"> </w:t>
      </w:r>
      <w:r>
        <w:t>employees, nature of business, description of clients</w:t>
      </w:r>
      <w:r w:rsidR="00B20C0B">
        <w:t xml:space="preserve">, </w:t>
      </w:r>
      <w:r w:rsidR="00B20C0B" w:rsidRPr="00666719">
        <w:t>and related products developed and commercialized to date</w:t>
      </w:r>
      <w:r w:rsidRPr="00666719">
        <w:t>.</w:t>
      </w:r>
    </w:p>
    <w:p w:rsidR="00D15344" w:rsidRDefault="00D15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8DA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DA08DA" w:rsidRDefault="00DA08DA" w:rsidP="00FC061E"/>
          <w:p w:rsidR="00DA08DA" w:rsidRDefault="00DA08DA" w:rsidP="00FC061E"/>
          <w:p w:rsidR="00DA08DA" w:rsidRDefault="00DA08DA" w:rsidP="00FC061E"/>
          <w:p w:rsidR="00DA08DA" w:rsidRDefault="00DA08DA" w:rsidP="00FC061E"/>
          <w:p w:rsidR="00DA08DA" w:rsidRDefault="00DA08DA" w:rsidP="00FC061E"/>
          <w:p w:rsidR="00DA08DA" w:rsidRDefault="00DA08DA" w:rsidP="00FC061E"/>
        </w:tc>
      </w:tr>
    </w:tbl>
    <w:p w:rsidR="00DA08DA" w:rsidRDefault="00DA08DA" w:rsidP="00FC061E"/>
    <w:p w:rsidR="00DA08DA" w:rsidRPr="005B2898" w:rsidRDefault="00DA08DA" w:rsidP="00612F49">
      <w:pPr>
        <w:pStyle w:val="Heading2"/>
      </w:pPr>
      <w:bookmarkStart w:id="21" w:name="_Toc482191676"/>
      <w:r w:rsidRPr="005B2898">
        <w:t xml:space="preserve">Parent Corporation and/or </w:t>
      </w:r>
      <w:r w:rsidR="002E185B" w:rsidRPr="005B2898">
        <w:t>S</w:t>
      </w:r>
      <w:r w:rsidRPr="005B2898">
        <w:t>ubsidiaries</w:t>
      </w:r>
      <w:bookmarkEnd w:id="21"/>
    </w:p>
    <w:p w:rsidR="00DA08DA" w:rsidRDefault="00DA08DA" w:rsidP="0030651A">
      <w:pPr>
        <w:spacing w:after="120"/>
        <w:jc w:val="both"/>
      </w:pPr>
      <w:r>
        <w:t>Identify any parent corporation and or subsidiaries, if appropriate</w:t>
      </w:r>
      <w:r w:rsidR="003729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8DA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DA08DA" w:rsidRDefault="00DA08DA" w:rsidP="00DA08DA"/>
          <w:p w:rsidR="00DA08DA" w:rsidRDefault="00DA08DA" w:rsidP="00DA08DA"/>
          <w:p w:rsidR="00DA08DA" w:rsidRDefault="00DA08DA" w:rsidP="00DA08DA"/>
          <w:p w:rsidR="00DA08DA" w:rsidRDefault="00DA08DA" w:rsidP="00DA08DA"/>
          <w:p w:rsidR="00DA08DA" w:rsidRDefault="00DA08DA" w:rsidP="00DA08DA"/>
          <w:p w:rsidR="00DA08DA" w:rsidRDefault="00DA08DA" w:rsidP="00DA08DA"/>
        </w:tc>
      </w:tr>
    </w:tbl>
    <w:p w:rsidR="00DA08DA" w:rsidRDefault="00DA08DA" w:rsidP="00DA08DA"/>
    <w:p w:rsidR="00FC061E" w:rsidRPr="005B2898" w:rsidRDefault="002E185B" w:rsidP="00612F49">
      <w:pPr>
        <w:pStyle w:val="Heading2"/>
      </w:pPr>
      <w:bookmarkStart w:id="22" w:name="_Toc482191677"/>
      <w:r w:rsidRPr="005B2898">
        <w:t>Summary of Expertise</w:t>
      </w:r>
      <w:bookmarkEnd w:id="22"/>
    </w:p>
    <w:p w:rsidR="00FC061E" w:rsidRDefault="00FC061E" w:rsidP="0030651A">
      <w:pPr>
        <w:spacing w:after="120"/>
        <w:jc w:val="both"/>
      </w:pPr>
      <w:r>
        <w:t xml:space="preserve">Give a brief description </w:t>
      </w:r>
      <w:r w:rsidR="002E185B">
        <w:t xml:space="preserve">of your </w:t>
      </w:r>
      <w:r w:rsidR="0018268D">
        <w:t>company/organization</w:t>
      </w:r>
      <w:r w:rsidR="002E185B">
        <w:t>’s expertise in the area/field related to this RFI.</w:t>
      </w:r>
      <w:r w:rsidR="007474D0">
        <w:t xml:space="preserve">  Include any experience working on projects with Consortia/Associations.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185B" w:rsidTr="002E185B">
        <w:tc>
          <w:tcPr>
            <w:tcW w:w="9576" w:type="dxa"/>
            <w:shd w:val="clear" w:color="auto" w:fill="D9D9D9" w:themeFill="background1" w:themeFillShade="D9"/>
          </w:tcPr>
          <w:p w:rsidR="002E185B" w:rsidRDefault="002E185B" w:rsidP="002E185B"/>
          <w:p w:rsidR="002E185B" w:rsidRDefault="002E185B" w:rsidP="002E185B"/>
          <w:p w:rsidR="002E185B" w:rsidRDefault="002E185B" w:rsidP="002E185B"/>
          <w:p w:rsidR="002E185B" w:rsidRDefault="002E185B" w:rsidP="002E185B"/>
          <w:p w:rsidR="002E185B" w:rsidRDefault="002E185B" w:rsidP="002E185B"/>
          <w:p w:rsidR="002E185B" w:rsidRDefault="002E185B" w:rsidP="002E185B"/>
        </w:tc>
      </w:tr>
    </w:tbl>
    <w:p w:rsidR="002E185B" w:rsidRDefault="002E185B" w:rsidP="002E185B"/>
    <w:p w:rsidR="002E185B" w:rsidRPr="005B2898" w:rsidRDefault="00653E75" w:rsidP="00612F49">
      <w:pPr>
        <w:pStyle w:val="Heading2"/>
      </w:pPr>
      <w:bookmarkStart w:id="23" w:name="_Toc482191678"/>
      <w:r w:rsidRPr="005B2898">
        <w:t xml:space="preserve">Standards </w:t>
      </w:r>
      <w:r w:rsidR="002E185B" w:rsidRPr="005B2898">
        <w:t>Certifications</w:t>
      </w:r>
      <w:bookmarkEnd w:id="23"/>
    </w:p>
    <w:p w:rsidR="002E185B" w:rsidRDefault="002E185B" w:rsidP="0030651A">
      <w:pPr>
        <w:spacing w:after="120"/>
        <w:jc w:val="both"/>
      </w:pPr>
      <w:r>
        <w:t>List any certifications cu</w:t>
      </w:r>
      <w:r w:rsidR="00653E75">
        <w:t>rrently held, including date received, duration, and renewal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3E75" w:rsidTr="00653E75">
        <w:tc>
          <w:tcPr>
            <w:tcW w:w="9576" w:type="dxa"/>
            <w:shd w:val="clear" w:color="auto" w:fill="D9D9D9" w:themeFill="background1" w:themeFillShade="D9"/>
          </w:tcPr>
          <w:p w:rsidR="00653E75" w:rsidRDefault="00653E75" w:rsidP="00653E75"/>
          <w:p w:rsidR="00653E75" w:rsidRDefault="00653E75" w:rsidP="00653E75"/>
          <w:p w:rsidR="00653E75" w:rsidRDefault="00653E75" w:rsidP="00653E75"/>
          <w:p w:rsidR="00653E75" w:rsidRDefault="00653E75" w:rsidP="00653E75"/>
          <w:p w:rsidR="00653E75" w:rsidRDefault="00653E75" w:rsidP="00653E75"/>
          <w:p w:rsidR="00653E75" w:rsidRDefault="00653E75" w:rsidP="00653E75"/>
        </w:tc>
      </w:tr>
    </w:tbl>
    <w:p w:rsidR="00653E75" w:rsidRDefault="00653E75" w:rsidP="00653E75"/>
    <w:p w:rsidR="00FC061E" w:rsidRPr="005B2898" w:rsidRDefault="00653E75" w:rsidP="00612F49">
      <w:pPr>
        <w:pStyle w:val="Heading2"/>
      </w:pPr>
      <w:bookmarkStart w:id="24" w:name="_Toc482191679"/>
      <w:r w:rsidRPr="005B2898">
        <w:t>Goals and Strategic Vision</w:t>
      </w:r>
      <w:bookmarkEnd w:id="24"/>
    </w:p>
    <w:p w:rsidR="00FC061E" w:rsidRDefault="00FC061E" w:rsidP="0030651A">
      <w:pPr>
        <w:spacing w:after="120"/>
        <w:jc w:val="both"/>
      </w:pPr>
      <w:r>
        <w:t xml:space="preserve">Provide a summary of your </w:t>
      </w:r>
      <w:r w:rsidR="0018268D">
        <w:t>company/organization</w:t>
      </w:r>
      <w:r>
        <w:t>’s short term and long term goals and strategic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0D46" w:rsidTr="006B3E7A">
        <w:tc>
          <w:tcPr>
            <w:tcW w:w="9576" w:type="dxa"/>
            <w:shd w:val="clear" w:color="auto" w:fill="D9D9D9" w:themeFill="background1" w:themeFillShade="D9"/>
          </w:tcPr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</w:tc>
      </w:tr>
    </w:tbl>
    <w:p w:rsidR="004E0D46" w:rsidRDefault="004E0D46" w:rsidP="004E0D46"/>
    <w:p w:rsidR="004E0D46" w:rsidRPr="005B2898" w:rsidRDefault="004E0D46" w:rsidP="00612F49">
      <w:pPr>
        <w:pStyle w:val="Heading2"/>
      </w:pPr>
      <w:bookmarkStart w:id="25" w:name="_Toc482191680"/>
      <w:r w:rsidRPr="005B2898">
        <w:t>Miscellaneous</w:t>
      </w:r>
      <w:bookmarkEnd w:id="25"/>
    </w:p>
    <w:p w:rsidR="004E0D46" w:rsidRDefault="0030651A" w:rsidP="0030651A">
      <w:pPr>
        <w:spacing w:after="120"/>
        <w:jc w:val="both"/>
      </w:pPr>
      <w:r>
        <w:t xml:space="preserve">Please enter your response to each requirement using the guidelines provided in the tables below.  If additional documentation or schematics are required to respond to a particular question, please answer the question as succinctly and accurately as possible and reference supplemental attachments.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0D46" w:rsidTr="006B3E7A">
        <w:tc>
          <w:tcPr>
            <w:tcW w:w="9576" w:type="dxa"/>
            <w:shd w:val="clear" w:color="auto" w:fill="D9D9D9" w:themeFill="background1" w:themeFillShade="D9"/>
          </w:tcPr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  <w:p w:rsidR="004E0D46" w:rsidRDefault="004E0D46" w:rsidP="006B3E7A"/>
        </w:tc>
      </w:tr>
    </w:tbl>
    <w:p w:rsidR="00431E9B" w:rsidRDefault="00431E9B" w:rsidP="00431E9B">
      <w:pPr>
        <w:pStyle w:val="Heading1"/>
        <w:numPr>
          <w:ilvl w:val="0"/>
          <w:numId w:val="0"/>
        </w:numPr>
        <w:ind w:left="432" w:hanging="432"/>
      </w:pPr>
    </w:p>
    <w:p w:rsidR="00431E9B" w:rsidRDefault="00431E9B" w:rsidP="00431E9B">
      <w:pPr>
        <w:rPr>
          <w:rFonts w:eastAsia="Times New Roman" w:cs="Times New Roman"/>
          <w:sz w:val="32"/>
          <w:szCs w:val="28"/>
        </w:rPr>
      </w:pPr>
      <w:r>
        <w:br w:type="page"/>
      </w:r>
    </w:p>
    <w:p w:rsidR="003F73F1" w:rsidRPr="00E14D75" w:rsidRDefault="0018268D" w:rsidP="001A2959">
      <w:pPr>
        <w:pStyle w:val="Heading1"/>
        <w:rPr>
          <w:sz w:val="28"/>
        </w:rPr>
      </w:pPr>
      <w:bookmarkStart w:id="26" w:name="_Toc482191681"/>
      <w:r w:rsidRPr="005B2898">
        <w:t>Company/Organization</w:t>
      </w:r>
      <w:r w:rsidR="00C35FF3" w:rsidRPr="005B2898">
        <w:t xml:space="preserve"> Response</w:t>
      </w:r>
      <w:r w:rsidR="00AB0A01" w:rsidRPr="005B2898">
        <w:t xml:space="preserve"> to RFI</w:t>
      </w:r>
      <w:r w:rsidR="00E05D95">
        <w:t xml:space="preserve"> </w:t>
      </w:r>
      <w:r w:rsidR="00E05D95" w:rsidRPr="00E14D75">
        <w:rPr>
          <w:sz w:val="22"/>
        </w:rPr>
        <w:t>(</w:t>
      </w:r>
      <w:r w:rsidR="00E05D95" w:rsidRPr="00E14D75">
        <w:rPr>
          <w:i/>
          <w:sz w:val="22"/>
        </w:rPr>
        <w:t>to be completed by RFI respondent)</w:t>
      </w:r>
      <w:bookmarkEnd w:id="26"/>
    </w:p>
    <w:p w:rsidR="000C4D5F" w:rsidRPr="005B2898" w:rsidRDefault="00F3211C" w:rsidP="00612F49">
      <w:pPr>
        <w:pStyle w:val="Heading2"/>
      </w:pPr>
      <w:bookmarkStart w:id="27" w:name="_Toc482191682"/>
      <w:r w:rsidRPr="005B2898">
        <w:t>Proposal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:rsidTr="00E831D9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7474D0" w:rsidRDefault="007474D0" w:rsidP="007474D0"/>
        </w:tc>
      </w:tr>
    </w:tbl>
    <w:p w:rsidR="007474D0" w:rsidRPr="00530F7B" w:rsidRDefault="007474D0" w:rsidP="007474D0"/>
    <w:p w:rsidR="00C35FF3" w:rsidRPr="005B2898" w:rsidRDefault="00C35FF3" w:rsidP="00612F49">
      <w:pPr>
        <w:pStyle w:val="Heading2"/>
      </w:pPr>
      <w:bookmarkStart w:id="28" w:name="_Toc482191683"/>
      <w:r w:rsidRPr="005B2898">
        <w:t>Functional Requirements &amp; Specifications</w:t>
      </w:r>
      <w:bookmarkEnd w:id="28"/>
    </w:p>
    <w:p w:rsidR="00DA610B" w:rsidRDefault="00C35FF3" w:rsidP="0030651A">
      <w:pPr>
        <w:jc w:val="both"/>
      </w:pPr>
      <w:r>
        <w:t xml:space="preserve">Refer to the following Functional Requirements and Specifications checklist which summarizes the collective requirements and specifications by the member companies participating in the project.  </w:t>
      </w:r>
    </w:p>
    <w:p w:rsidR="00DA610B" w:rsidRDefault="00DA610B" w:rsidP="0030651A">
      <w:pPr>
        <w:jc w:val="both"/>
      </w:pPr>
    </w:p>
    <w:p w:rsidR="00C35FF3" w:rsidRDefault="00DA610B" w:rsidP="0030651A">
      <w:pPr>
        <w:spacing w:after="120"/>
        <w:jc w:val="both"/>
      </w:pPr>
      <w:r>
        <w:t>Based upon your proposed approach to deliver a solution, provide a response to each checklist item along with comments and a</w:t>
      </w:r>
      <w:r w:rsidR="00C35FF3">
        <w:t>ssign one of the following Codes to each item</w:t>
      </w:r>
      <w:r w:rsidR="00780876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6181"/>
      </w:tblGrid>
      <w:tr w:rsidR="00C35FF3" w:rsidTr="00FD7C48">
        <w:tc>
          <w:tcPr>
            <w:tcW w:w="497" w:type="dxa"/>
          </w:tcPr>
          <w:p w:rsidR="00C35FF3" w:rsidRDefault="00780876" w:rsidP="00C35FF3">
            <w:r>
              <w:t>A</w:t>
            </w:r>
          </w:p>
        </w:tc>
        <w:tc>
          <w:tcPr>
            <w:tcW w:w="6181" w:type="dxa"/>
          </w:tcPr>
          <w:p w:rsidR="00C35FF3" w:rsidRDefault="00DA610B" w:rsidP="00C35FF3">
            <w:r>
              <w:t>Current capability</w:t>
            </w:r>
            <w:r w:rsidR="00863A8B">
              <w:t xml:space="preserve"> of existing product</w:t>
            </w:r>
          </w:p>
        </w:tc>
      </w:tr>
      <w:tr w:rsidR="00C35FF3" w:rsidTr="00FD7C48">
        <w:tc>
          <w:tcPr>
            <w:tcW w:w="497" w:type="dxa"/>
          </w:tcPr>
          <w:p w:rsidR="00C35FF3" w:rsidRDefault="00780876" w:rsidP="00C35FF3">
            <w:r>
              <w:t>B</w:t>
            </w:r>
          </w:p>
        </w:tc>
        <w:tc>
          <w:tcPr>
            <w:tcW w:w="6181" w:type="dxa"/>
          </w:tcPr>
          <w:p w:rsidR="00C35FF3" w:rsidRDefault="003B3BD9" w:rsidP="003B3BD9">
            <w:r>
              <w:t>Able to add capability as requested</w:t>
            </w:r>
          </w:p>
        </w:tc>
      </w:tr>
      <w:tr w:rsidR="00780876" w:rsidTr="00FD7C48">
        <w:tc>
          <w:tcPr>
            <w:tcW w:w="497" w:type="dxa"/>
          </w:tcPr>
          <w:p w:rsidR="00780876" w:rsidRDefault="00780876" w:rsidP="00C35FF3">
            <w:r>
              <w:t>C</w:t>
            </w:r>
          </w:p>
        </w:tc>
        <w:tc>
          <w:tcPr>
            <w:tcW w:w="6181" w:type="dxa"/>
          </w:tcPr>
          <w:p w:rsidR="00780876" w:rsidRDefault="003B3BD9" w:rsidP="00C35FF3">
            <w:r>
              <w:t xml:space="preserve">Able to add capability with modification to </w:t>
            </w:r>
            <w:r w:rsidR="00BB38B5">
              <w:t xml:space="preserve">ETC </w:t>
            </w:r>
            <w:r>
              <w:t>request</w:t>
            </w:r>
          </w:p>
        </w:tc>
      </w:tr>
      <w:tr w:rsidR="003B3BD9" w:rsidTr="00FD7C48">
        <w:tc>
          <w:tcPr>
            <w:tcW w:w="497" w:type="dxa"/>
          </w:tcPr>
          <w:p w:rsidR="003B3BD9" w:rsidRDefault="003B3BD9" w:rsidP="00C35FF3">
            <w:r>
              <w:t>D</w:t>
            </w:r>
          </w:p>
        </w:tc>
        <w:tc>
          <w:tcPr>
            <w:tcW w:w="6181" w:type="dxa"/>
          </w:tcPr>
          <w:p w:rsidR="003B3BD9" w:rsidRDefault="003B3BD9" w:rsidP="00C35FF3">
            <w:r>
              <w:t>Unable to add capability</w:t>
            </w:r>
          </w:p>
        </w:tc>
      </w:tr>
    </w:tbl>
    <w:p w:rsidR="00C35FF3" w:rsidRDefault="00C35FF3" w:rsidP="00C35FF3"/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08"/>
        <w:gridCol w:w="836"/>
        <w:gridCol w:w="5014"/>
      </w:tblGrid>
      <w:tr w:rsidR="006A41A0" w:rsidRPr="006C64D0" w:rsidTr="002E06F7">
        <w:trPr>
          <w:tblHeader/>
        </w:trPr>
        <w:tc>
          <w:tcPr>
            <w:tcW w:w="3708" w:type="dxa"/>
            <w:shd w:val="clear" w:color="auto" w:fill="E36C0A" w:themeFill="accent6" w:themeFillShade="BF"/>
          </w:tcPr>
          <w:p w:rsidR="006A41A0" w:rsidRPr="006C64D0" w:rsidRDefault="006A41A0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Requirement</w:t>
            </w:r>
          </w:p>
        </w:tc>
        <w:tc>
          <w:tcPr>
            <w:tcW w:w="836" w:type="dxa"/>
            <w:shd w:val="clear" w:color="auto" w:fill="E36C0A" w:themeFill="accent6" w:themeFillShade="BF"/>
          </w:tcPr>
          <w:p w:rsidR="006A41A0" w:rsidRPr="006C64D0" w:rsidRDefault="006A41A0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Code</w:t>
            </w:r>
          </w:p>
        </w:tc>
        <w:tc>
          <w:tcPr>
            <w:tcW w:w="5014" w:type="dxa"/>
            <w:shd w:val="clear" w:color="auto" w:fill="E36C0A" w:themeFill="accent6" w:themeFillShade="BF"/>
          </w:tcPr>
          <w:p w:rsidR="006A41A0" w:rsidRPr="006C64D0" w:rsidRDefault="006A41A0" w:rsidP="003B3BD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3rd party</w:t>
            </w:r>
            <w:r w:rsidRPr="006C64D0">
              <w:rPr>
                <w:color w:val="FFFFFF" w:themeColor="background1"/>
              </w:rPr>
              <w:t xml:space="preserve"> Comments</w:t>
            </w:r>
          </w:p>
        </w:tc>
      </w:tr>
      <w:tr w:rsidR="00220807" w:rsidTr="002E06F7">
        <w:trPr>
          <w:trHeight w:val="288"/>
        </w:trPr>
        <w:tc>
          <w:tcPr>
            <w:tcW w:w="9558" w:type="dxa"/>
            <w:gridSpan w:val="3"/>
            <w:shd w:val="clear" w:color="auto" w:fill="FBD4B4" w:themeFill="accent6" w:themeFillTint="66"/>
            <w:vAlign w:val="center"/>
          </w:tcPr>
          <w:p w:rsidR="00220807" w:rsidRPr="00220807" w:rsidRDefault="00220807" w:rsidP="00220807">
            <w:pPr>
              <w:jc w:val="center"/>
              <w:rPr>
                <w:b/>
              </w:rPr>
            </w:pPr>
            <w:r w:rsidRPr="00220807">
              <w:rPr>
                <w:b/>
              </w:rPr>
              <w:t>HARDWARE</w:t>
            </w:r>
            <w:r>
              <w:rPr>
                <w:b/>
              </w:rPr>
              <w:t xml:space="preserve"> REQUIREMENTS</w:t>
            </w:r>
          </w:p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6A41A0" w:rsidP="006A41A0">
            <w:r>
              <w:t>Ability to work with crystallizer sizes (50-1000 mL), types, baffles, stirrer types/mixing elements.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6A41A0" w:rsidP="006A41A0">
            <w:r>
              <w:t>All components would be modular with multiple configurations, drop-in vessels and simple connections between components with options to purchase vessels and parts from multiple vendors.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6A41A0" w:rsidP="006A41A0">
            <w:r>
              <w:t xml:space="preserve">The equipment will be a complete system to study continuous crystallization rather than merely a communication interface connected to custom-built flow equipment.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6A41A0" w:rsidP="006A41A0">
            <w:r>
              <w:t xml:space="preserve">Ability to produce mass rates from 10 g/d to 1000 g/d and suitable to replicate equipment for manufacturing scale.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>Vessels transfer fluid using options as seen appropriate without affecting the physical properties of the slurry.  It is not a requirement (nor an expectation) that the transfer of slurries between vessels be truly continuous (i.e., discretized transfer in “slugs” could be acceptable if properly managed).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 xml:space="preserve">Ability to easily control the reactor temperature ranging from at least -20 to 100°C, stirring rate, inlet/exit flowrate, recycle ratio, residence time and throughput, metering in solids.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>Manual sampling from the reactor(s) should also be easily achievable.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>The materials of construction for the reactor and transfer lines should be suitable to accommodate concentrated acids, bases, aggressive organic solvents, and temperature ranges.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>Ability to generate supersaturation by cooling, anti-solvent addition, salt formation, salt breaking (via acid/base addition) and evaporation.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6A41A0">
            <w:r>
              <w:t>Ability to nucleate the system via seeding, sonication and high-shear wet-milling or add a third party device with industry standard communication protocols.  Nucleation devices need to be able to turned on and off according to user-input timing sequences.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add or remove residence time easily (via adding/removing modular units), add multiple measurement points, and multiple anti-solvent points.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The exit stream contents should be representative of the bulk reactor contents and the transfer streams need to remain fully suspended.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Feed lines and transfer lines need temperature control.    Feeds and transfers can be with strictly continuous flow or intermittent batch transfers if performed at intervals that don’t impact process performance.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use controlled recirculation loops.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easily visualize the reactor geometry and its reactor contents, either through a view cell, wall/window or an in-situ process microscope.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All necessary instrumentation available including temperature, pressure, pH, RPM, flowrate.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use with at least two in-situ process monitoring tools with standard inlet sizes and fittings, or with an external loop.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Couple with a holding tank (diversion) or a continuous-isolation laboratory skid (recovery).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control crystallizer headspace conditions, such as nitrogen inerting.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F0F4B">
            <w:r>
              <w:t>Ability to fit the entire kit into a standard chemical fumehood, including plug and play with standard hood utilities (nitrogen,</w:t>
            </w:r>
            <w:r w:rsidR="00386197">
              <w:t xml:space="preserve"> vacuum, heating/cooling fluid…</w:t>
            </w:r>
            <w:r>
              <w:t xml:space="preserve">).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F0F4B" w:rsidTr="002E06F7">
        <w:trPr>
          <w:cantSplit/>
          <w:trHeight w:val="720"/>
        </w:trPr>
        <w:tc>
          <w:tcPr>
            <w:tcW w:w="3708" w:type="dxa"/>
          </w:tcPr>
          <w:p w:rsidR="00DF0F4B" w:rsidRDefault="00DF0F4B" w:rsidP="00D223A9">
            <w:r>
              <w:t xml:space="preserve">The equipment should be able to handle and transfer hazardous compounds (personal exposure of &lt; 5 </w:t>
            </w:r>
            <w:r w:rsidRPr="006A41A0">
              <w:rPr>
                <w:rFonts w:ascii="Symbol" w:hAnsi="Symbol"/>
              </w:rPr>
              <w:t></w:t>
            </w:r>
            <w:r>
              <w:t>g/m</w:t>
            </w:r>
            <w:r w:rsidRPr="006A41A0">
              <w:rPr>
                <w:vertAlign w:val="superscript"/>
              </w:rPr>
              <w:t>3</w:t>
            </w:r>
            <w:r>
              <w:t xml:space="preserve">), be sealed, exhibit minimal solvent loss and allow for safe unmanned operations for at least 16 h.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F0F4B" w:rsidRDefault="00DF0F4B" w:rsidP="00C35FF3"/>
        </w:tc>
        <w:tc>
          <w:tcPr>
            <w:tcW w:w="5014" w:type="dxa"/>
            <w:shd w:val="clear" w:color="auto" w:fill="D9D9D9" w:themeFill="background1" w:themeFillShade="D9"/>
          </w:tcPr>
          <w:p w:rsidR="00DF0F4B" w:rsidRDefault="00DF0F4B" w:rsidP="00C35FF3"/>
        </w:tc>
      </w:tr>
      <w:tr w:rsidR="00D223A9" w:rsidTr="002E06F7">
        <w:trPr>
          <w:cantSplit/>
          <w:trHeight w:val="720"/>
        </w:trPr>
        <w:tc>
          <w:tcPr>
            <w:tcW w:w="3708" w:type="dxa"/>
          </w:tcPr>
          <w:p w:rsidR="00D223A9" w:rsidRDefault="00D223A9" w:rsidP="00DF0F4B">
            <w:r>
              <w:t>The systems should also be designed for automated event notification and shutdown.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223A9" w:rsidRDefault="00D223A9" w:rsidP="00C35FF3"/>
        </w:tc>
        <w:tc>
          <w:tcPr>
            <w:tcW w:w="5014" w:type="dxa"/>
            <w:shd w:val="clear" w:color="auto" w:fill="D9D9D9" w:themeFill="background1" w:themeFillShade="D9"/>
          </w:tcPr>
          <w:p w:rsidR="00D223A9" w:rsidRDefault="00D223A9" w:rsidP="00C35FF3"/>
        </w:tc>
      </w:tr>
      <w:tr w:rsidR="00D223A9" w:rsidTr="002E06F7">
        <w:trPr>
          <w:cantSplit/>
          <w:trHeight w:val="720"/>
        </w:trPr>
        <w:tc>
          <w:tcPr>
            <w:tcW w:w="3708" w:type="dxa"/>
          </w:tcPr>
          <w:p w:rsidR="00D223A9" w:rsidRDefault="00D223A9" w:rsidP="00DF0F4B">
            <w:r>
              <w:t>Replacement reactor parts lists should be readily available and options of who to buy from also easily available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223A9" w:rsidRDefault="00D223A9" w:rsidP="00C35FF3"/>
        </w:tc>
        <w:tc>
          <w:tcPr>
            <w:tcW w:w="5014" w:type="dxa"/>
            <w:shd w:val="clear" w:color="auto" w:fill="D9D9D9" w:themeFill="background1" w:themeFillShade="D9"/>
          </w:tcPr>
          <w:p w:rsidR="00D223A9" w:rsidRDefault="00D223A9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D223A9" w:rsidP="00D223A9">
            <w:r>
              <w:t>Cleaning the equipment should not require significant effort.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D223A9" w:rsidP="00CA6D3E">
            <w:r>
              <w:t>A service contract should be available to maintain all equipment and software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Pr="00D223A9" w:rsidRDefault="00D223A9" w:rsidP="00CA6D3E">
            <w:r w:rsidRPr="00D223A9">
              <w:rPr>
                <w:b/>
              </w:rPr>
              <w:t xml:space="preserve">OPTIONAL - </w:t>
            </w:r>
            <w:r>
              <w:t>Ability to change feed flow and recycle addition points (sub-surface or above surface)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D223A9" w:rsidP="00C35FF3">
            <w:r w:rsidRPr="00D223A9">
              <w:rPr>
                <w:b/>
              </w:rPr>
              <w:t xml:space="preserve">OPTIONAL - </w:t>
            </w:r>
            <w:r>
              <w:t>Exit streams and transfer line should handle slurries with up to 50% solid mass, particle size up to 500</w:t>
            </w:r>
            <w:r w:rsidRPr="00D223A9">
              <w:rPr>
                <w:rFonts w:ascii="Symbol" w:hAnsi="Symbol"/>
              </w:rPr>
              <w:t></w:t>
            </w:r>
            <w:r>
              <w:t>m) during transfer with minimal or no impact to the PSD.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D223A9" w:rsidP="00D43E99">
            <w:r w:rsidRPr="00D223A9">
              <w:rPr>
                <w:b/>
              </w:rPr>
              <w:t xml:space="preserve">OPTIONAL - </w:t>
            </w:r>
            <w:r>
              <w:t>Clean-in-place capability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D223A9" w:rsidTr="002E06F7">
        <w:trPr>
          <w:cantSplit/>
          <w:trHeight w:val="720"/>
        </w:trPr>
        <w:tc>
          <w:tcPr>
            <w:tcW w:w="3708" w:type="dxa"/>
          </w:tcPr>
          <w:p w:rsidR="00D223A9" w:rsidRPr="00D223A9" w:rsidRDefault="00D223A9" w:rsidP="00D223A9">
            <w:pPr>
              <w:rPr>
                <w:b/>
              </w:rPr>
            </w:pPr>
            <w:r w:rsidRPr="00D223A9">
              <w:rPr>
                <w:b/>
              </w:rPr>
              <w:t xml:space="preserve">OPTIONAL - </w:t>
            </w:r>
            <w:r>
              <w:t>Portable – the ability to assemble, disassemble and reassemble for moving and storage should not require chemical fumehood modifications or significant vendor support.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D223A9" w:rsidRDefault="00D223A9" w:rsidP="00C35FF3"/>
        </w:tc>
        <w:tc>
          <w:tcPr>
            <w:tcW w:w="5014" w:type="dxa"/>
            <w:shd w:val="clear" w:color="auto" w:fill="D9D9D9" w:themeFill="background1" w:themeFillShade="D9"/>
          </w:tcPr>
          <w:p w:rsidR="00D223A9" w:rsidRDefault="00D223A9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D223A9" w:rsidRDefault="00D223A9" w:rsidP="00D223A9">
            <w:r w:rsidRPr="00D223A9">
              <w:rPr>
                <w:b/>
              </w:rPr>
              <w:t xml:space="preserve">OPTIONAL - </w:t>
            </w:r>
            <w:r>
              <w:t>Use in a cGMP environment</w:t>
            </w:r>
          </w:p>
          <w:p w:rsidR="006A41A0" w:rsidRDefault="00D223A9" w:rsidP="00D223A9">
            <w:r>
              <w:t>Ability to recycle a solids-free (mother liquor) stream from exit stream back to inlet ports anywhere upstream or downstream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D223A9" w:rsidP="00C35FF3">
            <w:r w:rsidRPr="00D223A9">
              <w:rPr>
                <w:b/>
              </w:rPr>
              <w:t xml:space="preserve">OPTIONAL - </w:t>
            </w:r>
            <w:r>
              <w:t>Ability to use in-situ or recirculation loops utilizing high shear dispersers and maintain temperature control.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220807" w:rsidTr="002E06F7">
        <w:trPr>
          <w:cantSplit/>
          <w:trHeight w:val="288"/>
        </w:trPr>
        <w:tc>
          <w:tcPr>
            <w:tcW w:w="9558" w:type="dxa"/>
            <w:gridSpan w:val="3"/>
            <w:shd w:val="clear" w:color="auto" w:fill="FBD4B4" w:themeFill="accent6" w:themeFillTint="66"/>
            <w:vAlign w:val="center"/>
          </w:tcPr>
          <w:p w:rsidR="00220807" w:rsidRPr="00220807" w:rsidRDefault="00220807" w:rsidP="00220807">
            <w:pPr>
              <w:jc w:val="center"/>
              <w:rPr>
                <w:b/>
              </w:rPr>
            </w:pPr>
            <w:r w:rsidRPr="00220807">
              <w:rPr>
                <w:b/>
              </w:rPr>
              <w:t>SOFTWARE REQUIREMENT</w:t>
            </w:r>
            <w:r>
              <w:rPr>
                <w:b/>
              </w:rPr>
              <w:t>S</w:t>
            </w:r>
          </w:p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 xml:space="preserve">Ability to create an experimental control file that generates a raw data file and a report suitable for use as or incorporation into an electronic notebook and into company repositories.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 xml:space="preserve">Software should function within the constraints of the local IT requirements at each company.  </w:t>
            </w:r>
          </w:p>
          <w:p w:rsidR="00220807" w:rsidRDefault="00220807" w:rsidP="00220807">
            <w:r>
              <w:t>Qualification should be provided for all controls/systems with specific calibration frequency.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>Ability to export process data into standard formats (.txt, .csv,…) suitable for data processing and modeling tools.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>Ability to easily merge data with standard process analytical technology tools offline.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 xml:space="preserve">Trending should include temperature, pressure, dosing, transfer rates.  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t>Control should be programmable or recipe driven, however, parameters or procedures can be changed during experimentation.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6A41A0" w:rsidTr="002E06F7">
        <w:trPr>
          <w:cantSplit/>
          <w:trHeight w:val="720"/>
        </w:trPr>
        <w:tc>
          <w:tcPr>
            <w:tcW w:w="3708" w:type="dxa"/>
          </w:tcPr>
          <w:p w:rsidR="006A41A0" w:rsidRDefault="00220807" w:rsidP="00220807">
            <w:r>
              <w:t>The software should invoke emergency shutdown procedures based on practical measures such as reactor temperature, reactor and wall temperature differential, pressure,…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A41A0" w:rsidRDefault="006A41A0" w:rsidP="00C35FF3"/>
        </w:tc>
        <w:tc>
          <w:tcPr>
            <w:tcW w:w="5014" w:type="dxa"/>
            <w:shd w:val="clear" w:color="auto" w:fill="D9D9D9" w:themeFill="background1" w:themeFillShade="D9"/>
          </w:tcPr>
          <w:p w:rsidR="006A41A0" w:rsidRDefault="006A41A0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rPr>
                <w:b/>
              </w:rPr>
              <w:t xml:space="preserve">OPTIONAL - </w:t>
            </w:r>
            <w:r>
              <w:t>Ability to easily merge process analytical technology tools data online</w:t>
            </w:r>
            <w:r w:rsidR="00386197">
              <w:t xml:space="preserve"> </w:t>
            </w:r>
            <w:r w:rsidR="00386197" w:rsidRPr="00335F23">
              <w:t>with a vision to become Allotrope compliant.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  <w:tr w:rsidR="00220807" w:rsidTr="002E06F7">
        <w:trPr>
          <w:cantSplit/>
          <w:trHeight w:val="720"/>
        </w:trPr>
        <w:tc>
          <w:tcPr>
            <w:tcW w:w="3708" w:type="dxa"/>
          </w:tcPr>
          <w:p w:rsidR="00220807" w:rsidRDefault="00220807" w:rsidP="00220807">
            <w:r>
              <w:rPr>
                <w:b/>
              </w:rPr>
              <w:t xml:space="preserve">OPTIONAL - </w:t>
            </w:r>
            <w:r>
              <w:t>Ability to integrate unit with higher level automation, such as DCS (distributed control systems).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20807" w:rsidRDefault="00220807" w:rsidP="00C35FF3"/>
        </w:tc>
        <w:tc>
          <w:tcPr>
            <w:tcW w:w="5014" w:type="dxa"/>
            <w:shd w:val="clear" w:color="auto" w:fill="D9D9D9" w:themeFill="background1" w:themeFillShade="D9"/>
          </w:tcPr>
          <w:p w:rsidR="00220807" w:rsidRDefault="00220807" w:rsidP="00C35FF3"/>
        </w:tc>
      </w:tr>
    </w:tbl>
    <w:p w:rsidR="00C35FF3" w:rsidRPr="005B2898" w:rsidRDefault="0005587D" w:rsidP="00612F49">
      <w:pPr>
        <w:pStyle w:val="Heading2"/>
      </w:pPr>
      <w:bookmarkStart w:id="29" w:name="_Toc482191684"/>
      <w:r w:rsidRPr="005B2898">
        <w:t>Estimated Timeline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7474D0" w:rsidRDefault="007474D0" w:rsidP="007474D0"/>
        </w:tc>
      </w:tr>
    </w:tbl>
    <w:p w:rsidR="00F3211C" w:rsidRPr="005B2898" w:rsidRDefault="0005587D" w:rsidP="00612F49">
      <w:pPr>
        <w:pStyle w:val="Heading2"/>
      </w:pPr>
      <w:bookmarkStart w:id="30" w:name="_Toc482191685"/>
      <w:r w:rsidRPr="005B2898">
        <w:t>Estimated Project Cost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:rsidR="007474D0" w:rsidRDefault="007474D0" w:rsidP="007474D0"/>
        </w:tc>
      </w:tr>
    </w:tbl>
    <w:p w:rsidR="007474D0" w:rsidRPr="00530F7B" w:rsidRDefault="007474D0" w:rsidP="007474D0"/>
    <w:sectPr w:rsidR="007474D0" w:rsidRPr="00530F7B" w:rsidSect="00E343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0A" w:rsidRDefault="0041230A" w:rsidP="00DB6FED">
      <w:r>
        <w:separator/>
      </w:r>
    </w:p>
  </w:endnote>
  <w:endnote w:type="continuationSeparator" w:id="0">
    <w:p w:rsidR="0041230A" w:rsidRDefault="0041230A" w:rsidP="00D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26" w:rsidRDefault="00973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0A" w:rsidRDefault="0041230A" w:rsidP="00E3438F">
    <w:pPr>
      <w:pStyle w:val="Footer"/>
      <w:tabs>
        <w:tab w:val="clear" w:pos="9360"/>
        <w:tab w:val="right" w:pos="9990"/>
      </w:tabs>
      <w:spacing w:line="200" w:lineRule="exact"/>
      <w:ind w:left="-720"/>
      <w:rPr>
        <w:i/>
        <w:sz w:val="20"/>
      </w:rPr>
    </w:pPr>
    <w:r w:rsidRPr="0017424B">
      <w:rPr>
        <w:i/>
      </w:rPr>
      <w:t>©201</w:t>
    </w:r>
    <w:r w:rsidR="002618B6">
      <w:rPr>
        <w:i/>
      </w:rPr>
      <w:t>7</w:t>
    </w:r>
    <w:r w:rsidRPr="0017424B">
      <w:rPr>
        <w:i/>
      </w:rPr>
      <w:t xml:space="preserve"> Enabling Technologies Consortium</w:t>
    </w:r>
    <w:r>
      <w:rPr>
        <w:i/>
      </w:rPr>
      <w:t>™</w:t>
    </w:r>
    <w:r>
      <w:rPr>
        <w:i/>
      </w:rPr>
      <w:tab/>
    </w:r>
    <w:r>
      <w:rPr>
        <w:i/>
      </w:rPr>
      <w:tab/>
    </w:r>
    <w:r w:rsidR="00E3438F">
      <w:rPr>
        <w:i/>
        <w:sz w:val="20"/>
      </w:rPr>
      <w:t>Template V</w:t>
    </w:r>
    <w:r w:rsidRPr="00863A8B">
      <w:rPr>
        <w:i/>
        <w:sz w:val="20"/>
      </w:rPr>
      <w:t xml:space="preserve">ersion Dated </w:t>
    </w:r>
    <w:r w:rsidR="003866F4">
      <w:rPr>
        <w:i/>
        <w:sz w:val="20"/>
      </w:rPr>
      <w:t>March 7</w:t>
    </w:r>
    <w:r w:rsidR="002618B6">
      <w:rPr>
        <w:i/>
        <w:sz w:val="20"/>
      </w:rPr>
      <w:t>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0A" w:rsidRDefault="0041230A" w:rsidP="00E55AF2">
    <w:pPr>
      <w:pStyle w:val="Footer"/>
      <w:rPr>
        <w:i/>
      </w:rPr>
    </w:pPr>
    <w:r w:rsidRPr="0017424B">
      <w:rPr>
        <w:i/>
      </w:rPr>
      <w:t>©201</w:t>
    </w:r>
    <w:r>
      <w:rPr>
        <w:i/>
      </w:rPr>
      <w:t>6</w:t>
    </w:r>
    <w:r w:rsidRPr="0017424B">
      <w:rPr>
        <w:i/>
      </w:rPr>
      <w:t xml:space="preserve"> Enabling Technologies Consortium</w:t>
    </w:r>
    <w:r>
      <w:rPr>
        <w:i/>
      </w:rPr>
      <w:t>™</w:t>
    </w:r>
  </w:p>
  <w:p w:rsidR="00431E9B" w:rsidRDefault="00431E9B" w:rsidP="00431E9B">
    <w:pPr>
      <w:pStyle w:val="Footer"/>
      <w:spacing w:line="200" w:lineRule="exact"/>
      <w:rPr>
        <w:i/>
      </w:rPr>
    </w:pPr>
    <w:r w:rsidRPr="00431E9B">
      <w:t xml:space="preserve">85901008.4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0A" w:rsidRDefault="0041230A" w:rsidP="00DB6FED">
      <w:r>
        <w:separator/>
      </w:r>
    </w:p>
  </w:footnote>
  <w:footnote w:type="continuationSeparator" w:id="0">
    <w:p w:rsidR="0041230A" w:rsidRDefault="0041230A" w:rsidP="00DB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26" w:rsidRDefault="0097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0A" w:rsidRDefault="0041230A" w:rsidP="00E14D75">
    <w:pPr>
      <w:pStyle w:val="Header"/>
      <w:tabs>
        <w:tab w:val="clear" w:pos="9360"/>
        <w:tab w:val="right" w:pos="9990"/>
      </w:tabs>
      <w:ind w:left="-720"/>
    </w:pPr>
    <w:r w:rsidRPr="0017424B">
      <w:t>Enabling Technologies Consortium</w:t>
    </w:r>
    <w:r>
      <w:t>™</w:t>
    </w:r>
    <w:r w:rsidRPr="0017424B">
      <w:tab/>
    </w:r>
    <w:r w:rsidRPr="0017424B">
      <w:tab/>
    </w:r>
    <w:r w:rsidR="00BE0257" w:rsidRPr="00BE0257">
      <w:t xml:space="preserve">Off-the-shelf Continuous Crystallizer </w:t>
    </w:r>
    <w:r>
      <w:t xml:space="preserve">- </w:t>
    </w:r>
    <w:r w:rsidRPr="0017424B">
      <w:t>RFI</w:t>
    </w:r>
  </w:p>
  <w:p w:rsidR="0041230A" w:rsidRPr="0017424B" w:rsidRDefault="00973926" w:rsidP="00E14D75">
    <w:pPr>
      <w:pStyle w:val="Header"/>
      <w:tabs>
        <w:tab w:val="clear" w:pos="9360"/>
        <w:tab w:val="right" w:pos="9990"/>
      </w:tabs>
      <w:ind w:right="-630"/>
      <w:jc w:val="right"/>
    </w:pPr>
    <w:sdt>
      <w:sdtPr>
        <w:id w:val="-754979642"/>
        <w:docPartObj>
          <w:docPartGallery w:val="Page Numbers (Top of Page)"/>
          <w:docPartUnique/>
        </w:docPartObj>
      </w:sdtPr>
      <w:sdtEndPr/>
      <w:sdtContent>
        <w:r w:rsidR="0041230A">
          <w:t xml:space="preserve">Page </w:t>
        </w:r>
        <w:r w:rsidR="0041230A" w:rsidRPr="006C64D0">
          <w:rPr>
            <w:bCs/>
          </w:rPr>
          <w:fldChar w:fldCharType="begin"/>
        </w:r>
        <w:r w:rsidR="0041230A" w:rsidRPr="006C64D0">
          <w:rPr>
            <w:bCs/>
          </w:rPr>
          <w:instrText xml:space="preserve"> PAGE </w:instrText>
        </w:r>
        <w:r w:rsidR="0041230A" w:rsidRPr="006C64D0">
          <w:rPr>
            <w:bCs/>
          </w:rPr>
          <w:fldChar w:fldCharType="separate"/>
        </w:r>
        <w:r>
          <w:rPr>
            <w:bCs/>
            <w:noProof/>
          </w:rPr>
          <w:t>1</w:t>
        </w:r>
        <w:r w:rsidR="0041230A" w:rsidRPr="006C64D0">
          <w:rPr>
            <w:bCs/>
          </w:rPr>
          <w:fldChar w:fldCharType="end"/>
        </w:r>
        <w:r w:rsidR="0041230A">
          <w:t xml:space="preserve"> of </w:t>
        </w:r>
        <w:r w:rsidR="0041230A" w:rsidRPr="006C64D0">
          <w:rPr>
            <w:bCs/>
          </w:rPr>
          <w:fldChar w:fldCharType="begin"/>
        </w:r>
        <w:r w:rsidR="0041230A" w:rsidRPr="006C64D0">
          <w:rPr>
            <w:bCs/>
          </w:rPr>
          <w:instrText xml:space="preserve"> NUMPAGES  </w:instrText>
        </w:r>
        <w:r w:rsidR="0041230A" w:rsidRPr="006C64D0">
          <w:rPr>
            <w:bCs/>
          </w:rPr>
          <w:fldChar w:fldCharType="separate"/>
        </w:r>
        <w:r>
          <w:rPr>
            <w:bCs/>
            <w:noProof/>
          </w:rPr>
          <w:t>17</w:t>
        </w:r>
        <w:r w:rsidR="0041230A" w:rsidRPr="006C64D0">
          <w:rPr>
            <w:bCs/>
          </w:rPr>
          <w:fldChar w:fldCharType="end"/>
        </w:r>
      </w:sdtContent>
    </w:sdt>
  </w:p>
  <w:p w:rsidR="0041230A" w:rsidRPr="0017424B" w:rsidRDefault="0041230A" w:rsidP="006C64D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26" w:rsidRDefault="0097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9B"/>
    <w:multiLevelType w:val="multilevel"/>
    <w:tmpl w:val="E104138A"/>
    <w:name w:val="zzmpETCTemplat||ETC Templates|3|3|1|1|0|32||1|0|32||1|0|33||1|0|35||1|0|32||1|0|34||1|0|34||1|0|32||1|0|34||22"/>
    <w:lvl w:ilvl="0">
      <w:start w:val="1"/>
      <w:numFmt w:val="decimal"/>
      <w:pStyle w:val="Heading1"/>
      <w:lvlText w:val="%1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44902D7"/>
    <w:multiLevelType w:val="hybridMultilevel"/>
    <w:tmpl w:val="4AEE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4F5"/>
    <w:multiLevelType w:val="hybridMultilevel"/>
    <w:tmpl w:val="486CEBAA"/>
    <w:name w:val="zzmpETCTemplat||ETC Templates|3|3|1|1|0|32||1|0|32||1|0|33||1|0|35||1|0|32||1|0|34||1|0|34||1|0|32||1|0|34||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0A93"/>
    <w:multiLevelType w:val="multilevel"/>
    <w:tmpl w:val="92C2B1DC"/>
    <w:name w:val="zzmpETCTemplat||ETC Templates|3|3|1|1|0|32||1|0|32||1|0|33||1|0|35||1|0|32||1|0|34||1|0|34||1|0|32||1|0|34||22"/>
    <w:lvl w:ilvl="0">
      <w:start w:val="1"/>
      <w:numFmt w:val="decimal"/>
      <w:pStyle w:val="ETCTemplatCont2"/>
      <w:lvlText w:val="%1.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1E247EE5"/>
    <w:multiLevelType w:val="hybridMultilevel"/>
    <w:tmpl w:val="C37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2F05"/>
    <w:multiLevelType w:val="multilevel"/>
    <w:tmpl w:val="D6E83788"/>
    <w:name w:val="HeadingStyles||Heading|3|3|0|1|0|33||1|0|33||1|0|33||1|0|35||1|0|32||1|0|34||1|0|34||1|0|32||1|0|34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567" w:hanging="425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2"/>
        </w:tabs>
        <w:ind w:left="567" w:hanging="425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2"/>
        </w:tabs>
        <w:ind w:left="567" w:hanging="425"/>
      </w:pPr>
      <w:rPr>
        <w:rFonts w:cs="Times New Roman" w:hint="default"/>
      </w:rPr>
    </w:lvl>
    <w:lvl w:ilvl="5">
      <w:start w:val="1"/>
      <w:numFmt w:val="decimal"/>
      <w:pStyle w:val="Heading6"/>
      <w:lvlText w:val="%1.%2.%3.%4.%5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6" w15:restartNumberingAfterBreak="0">
    <w:nsid w:val="343C171F"/>
    <w:multiLevelType w:val="hybridMultilevel"/>
    <w:tmpl w:val="86501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014D4"/>
    <w:multiLevelType w:val="hybridMultilevel"/>
    <w:tmpl w:val="963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82B"/>
    <w:multiLevelType w:val="hybridMultilevel"/>
    <w:tmpl w:val="ACF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745E0"/>
    <w:multiLevelType w:val="hybridMultilevel"/>
    <w:tmpl w:val="CF022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F16E3"/>
    <w:multiLevelType w:val="multilevel"/>
    <w:tmpl w:val="449EF290"/>
    <w:name w:val="zzmpETCTemplat||ETC Templates|3|3|1|1|0|32||1|0|32||1|0|33||1|0|35||1|0|32||1|0|34||1|0|34||1|0|32||1|0|34||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855045"/>
    <w:multiLevelType w:val="hybridMultilevel"/>
    <w:tmpl w:val="4356B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135182"/>
    <w:multiLevelType w:val="hybridMultilevel"/>
    <w:tmpl w:val="7C1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A3D41"/>
    <w:multiLevelType w:val="hybridMultilevel"/>
    <w:tmpl w:val="CBD64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05698"/>
    <w:multiLevelType w:val="hybridMultilevel"/>
    <w:tmpl w:val="A29A9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DocStamp_1_OptionalControlValues" w:val="ClientMatter|&amp;Client/Matter|0|%cm"/>
    <w:docVar w:name="DrinkerSoftwiseTrailer" w:val="Gone3"/>
    <w:docVar w:name="DrinkerWordTrailer" w:val="Gone3"/>
    <w:docVar w:name="HeadingStyles" w:val="||Heading|3|3|0|1|0|33||1|0|33||1|0|33||1|0|35||1|0|32||1|0|34||1|0|34||1|0|32||1|0|34||"/>
    <w:docVar w:name="MPDocID" w:val="88548275.3"/>
    <w:docVar w:name="MPDocIDTemplate" w:val="%n|.%v"/>
    <w:docVar w:name="MPDocIDTemplateDefault" w:val="%n|.%v|&lt;13&gt;%c|/%m"/>
    <w:docVar w:name="NewDocStampType" w:val="1"/>
    <w:docVar w:name="zzmp10NoTrailerPromptID" w:val="\\dbr.com\Users$\DCUsers\kriskokl\Documents\ETC\Website Documents\ETC+RFI+Continuous+Crystallizer.DOCX"/>
    <w:docVar w:name="zzmpETCTemplat" w:val="||ETC Templates|3|3|1|1|0|32||1|0|32||1|0|33||1|0|35||1|0|32||1|0|34||1|0|34||1|0|32||1|0|34||"/>
    <w:docVar w:name="zzmpFixed_MacPacVersion" w:val="9.0"/>
    <w:docVar w:name="zzmpFixedCurScheme" w:val="ETCTemplat"/>
    <w:docVar w:name="zzmpFixedCurScheme_9.0" w:val="3zzmpETCTemplat"/>
    <w:docVar w:name="zzmpnSession" w:val="3.338039E-03"/>
  </w:docVars>
  <w:rsids>
    <w:rsidRoot w:val="00870DA3"/>
    <w:rsid w:val="00003055"/>
    <w:rsid w:val="0000696F"/>
    <w:rsid w:val="0001666D"/>
    <w:rsid w:val="000169EC"/>
    <w:rsid w:val="000207AC"/>
    <w:rsid w:val="00020A26"/>
    <w:rsid w:val="00021088"/>
    <w:rsid w:val="000258DA"/>
    <w:rsid w:val="00030649"/>
    <w:rsid w:val="00034A4B"/>
    <w:rsid w:val="00034B26"/>
    <w:rsid w:val="0005587D"/>
    <w:rsid w:val="00060D4C"/>
    <w:rsid w:val="000712FB"/>
    <w:rsid w:val="000747C6"/>
    <w:rsid w:val="000A3271"/>
    <w:rsid w:val="000A4BED"/>
    <w:rsid w:val="000C4384"/>
    <w:rsid w:val="000C4D5F"/>
    <w:rsid w:val="000F6030"/>
    <w:rsid w:val="001073D5"/>
    <w:rsid w:val="00107F9C"/>
    <w:rsid w:val="00113507"/>
    <w:rsid w:val="00117842"/>
    <w:rsid w:val="001579C3"/>
    <w:rsid w:val="001652A5"/>
    <w:rsid w:val="00167982"/>
    <w:rsid w:val="0017424B"/>
    <w:rsid w:val="0018202C"/>
    <w:rsid w:val="0018268D"/>
    <w:rsid w:val="0019669C"/>
    <w:rsid w:val="001A0A3D"/>
    <w:rsid w:val="001A2959"/>
    <w:rsid w:val="001A665F"/>
    <w:rsid w:val="001B7963"/>
    <w:rsid w:val="001C57D4"/>
    <w:rsid w:val="001E013E"/>
    <w:rsid w:val="001E36D9"/>
    <w:rsid w:val="00220807"/>
    <w:rsid w:val="00220B57"/>
    <w:rsid w:val="00245326"/>
    <w:rsid w:val="00256463"/>
    <w:rsid w:val="002618B6"/>
    <w:rsid w:val="002747BB"/>
    <w:rsid w:val="0028520D"/>
    <w:rsid w:val="00295455"/>
    <w:rsid w:val="002966E7"/>
    <w:rsid w:val="002B68B5"/>
    <w:rsid w:val="002E06F7"/>
    <w:rsid w:val="002E185B"/>
    <w:rsid w:val="002E1A77"/>
    <w:rsid w:val="002F585C"/>
    <w:rsid w:val="00304DA7"/>
    <w:rsid w:val="0030651A"/>
    <w:rsid w:val="00313FF7"/>
    <w:rsid w:val="00324355"/>
    <w:rsid w:val="003313B3"/>
    <w:rsid w:val="00335F23"/>
    <w:rsid w:val="003411C2"/>
    <w:rsid w:val="0035165F"/>
    <w:rsid w:val="003724C3"/>
    <w:rsid w:val="003729CB"/>
    <w:rsid w:val="00386197"/>
    <w:rsid w:val="003866F4"/>
    <w:rsid w:val="003A13FB"/>
    <w:rsid w:val="003A1E23"/>
    <w:rsid w:val="003A4041"/>
    <w:rsid w:val="003B2215"/>
    <w:rsid w:val="003B3BD9"/>
    <w:rsid w:val="003B564E"/>
    <w:rsid w:val="003B6D27"/>
    <w:rsid w:val="003D0260"/>
    <w:rsid w:val="003F73F1"/>
    <w:rsid w:val="0040121A"/>
    <w:rsid w:val="004070D7"/>
    <w:rsid w:val="00411238"/>
    <w:rsid w:val="0041230A"/>
    <w:rsid w:val="0042412B"/>
    <w:rsid w:val="0042596A"/>
    <w:rsid w:val="00426B16"/>
    <w:rsid w:val="00431E9B"/>
    <w:rsid w:val="00454C17"/>
    <w:rsid w:val="004554C2"/>
    <w:rsid w:val="0047551C"/>
    <w:rsid w:val="0048580A"/>
    <w:rsid w:val="004C11B8"/>
    <w:rsid w:val="004C14EF"/>
    <w:rsid w:val="004E0D46"/>
    <w:rsid w:val="004E63DA"/>
    <w:rsid w:val="004F161C"/>
    <w:rsid w:val="00502124"/>
    <w:rsid w:val="00516E52"/>
    <w:rsid w:val="00526E00"/>
    <w:rsid w:val="00530F7B"/>
    <w:rsid w:val="00534AEF"/>
    <w:rsid w:val="005442E0"/>
    <w:rsid w:val="00545C63"/>
    <w:rsid w:val="00553A25"/>
    <w:rsid w:val="00570E73"/>
    <w:rsid w:val="00572065"/>
    <w:rsid w:val="00583715"/>
    <w:rsid w:val="00590D96"/>
    <w:rsid w:val="005B2898"/>
    <w:rsid w:val="005B399A"/>
    <w:rsid w:val="005C0367"/>
    <w:rsid w:val="005C3D3D"/>
    <w:rsid w:val="005D6A7B"/>
    <w:rsid w:val="005E59E0"/>
    <w:rsid w:val="005F6ED1"/>
    <w:rsid w:val="006010BB"/>
    <w:rsid w:val="00606AC5"/>
    <w:rsid w:val="0061255B"/>
    <w:rsid w:val="00612F49"/>
    <w:rsid w:val="00653E75"/>
    <w:rsid w:val="00666719"/>
    <w:rsid w:val="00690748"/>
    <w:rsid w:val="006A31A1"/>
    <w:rsid w:val="006A41A0"/>
    <w:rsid w:val="006B3E7A"/>
    <w:rsid w:val="006B717F"/>
    <w:rsid w:val="006C64D0"/>
    <w:rsid w:val="006E4DC6"/>
    <w:rsid w:val="00710596"/>
    <w:rsid w:val="00713BB9"/>
    <w:rsid w:val="00716492"/>
    <w:rsid w:val="007245B8"/>
    <w:rsid w:val="007474D0"/>
    <w:rsid w:val="007576AB"/>
    <w:rsid w:val="007643BF"/>
    <w:rsid w:val="00780876"/>
    <w:rsid w:val="0078525E"/>
    <w:rsid w:val="0079761E"/>
    <w:rsid w:val="007B3E0A"/>
    <w:rsid w:val="007C1F92"/>
    <w:rsid w:val="007C3713"/>
    <w:rsid w:val="007F168D"/>
    <w:rsid w:val="007F54BE"/>
    <w:rsid w:val="00800F24"/>
    <w:rsid w:val="00815579"/>
    <w:rsid w:val="00835AC0"/>
    <w:rsid w:val="00836174"/>
    <w:rsid w:val="008408EE"/>
    <w:rsid w:val="008444A3"/>
    <w:rsid w:val="00863A8B"/>
    <w:rsid w:val="00870DA3"/>
    <w:rsid w:val="008748D8"/>
    <w:rsid w:val="0088317A"/>
    <w:rsid w:val="008A5A5E"/>
    <w:rsid w:val="008C5A21"/>
    <w:rsid w:val="008F6B76"/>
    <w:rsid w:val="00911C40"/>
    <w:rsid w:val="009313EF"/>
    <w:rsid w:val="00951FA4"/>
    <w:rsid w:val="00962B1F"/>
    <w:rsid w:val="00973926"/>
    <w:rsid w:val="00986B27"/>
    <w:rsid w:val="00993E61"/>
    <w:rsid w:val="009A54D6"/>
    <w:rsid w:val="009B0D8D"/>
    <w:rsid w:val="009C4E40"/>
    <w:rsid w:val="009D322E"/>
    <w:rsid w:val="009D35E7"/>
    <w:rsid w:val="009D5A82"/>
    <w:rsid w:val="009E561D"/>
    <w:rsid w:val="00A04587"/>
    <w:rsid w:val="00A507BB"/>
    <w:rsid w:val="00A62917"/>
    <w:rsid w:val="00A70FBE"/>
    <w:rsid w:val="00A808AF"/>
    <w:rsid w:val="00A87BE9"/>
    <w:rsid w:val="00AA3145"/>
    <w:rsid w:val="00AB0A01"/>
    <w:rsid w:val="00AB0E7E"/>
    <w:rsid w:val="00AB2F00"/>
    <w:rsid w:val="00AF1DDD"/>
    <w:rsid w:val="00B10699"/>
    <w:rsid w:val="00B20C0B"/>
    <w:rsid w:val="00B26202"/>
    <w:rsid w:val="00B329FB"/>
    <w:rsid w:val="00B364EF"/>
    <w:rsid w:val="00B738F5"/>
    <w:rsid w:val="00BB38B5"/>
    <w:rsid w:val="00BC2AC7"/>
    <w:rsid w:val="00BD7888"/>
    <w:rsid w:val="00BE0257"/>
    <w:rsid w:val="00C03EB8"/>
    <w:rsid w:val="00C20EAA"/>
    <w:rsid w:val="00C35EE0"/>
    <w:rsid w:val="00C35FF3"/>
    <w:rsid w:val="00C43D5E"/>
    <w:rsid w:val="00C50110"/>
    <w:rsid w:val="00C569E7"/>
    <w:rsid w:val="00C604DC"/>
    <w:rsid w:val="00C72690"/>
    <w:rsid w:val="00C963C7"/>
    <w:rsid w:val="00CA5792"/>
    <w:rsid w:val="00CA6D3E"/>
    <w:rsid w:val="00CA7255"/>
    <w:rsid w:val="00CA78B9"/>
    <w:rsid w:val="00CC3014"/>
    <w:rsid w:val="00CC54AC"/>
    <w:rsid w:val="00CE4115"/>
    <w:rsid w:val="00CF2227"/>
    <w:rsid w:val="00CF57A8"/>
    <w:rsid w:val="00D15344"/>
    <w:rsid w:val="00D15F33"/>
    <w:rsid w:val="00D223A9"/>
    <w:rsid w:val="00D36AE9"/>
    <w:rsid w:val="00D36DE7"/>
    <w:rsid w:val="00D43BC5"/>
    <w:rsid w:val="00D43E99"/>
    <w:rsid w:val="00D66FE4"/>
    <w:rsid w:val="00D84A3B"/>
    <w:rsid w:val="00D96561"/>
    <w:rsid w:val="00DA08DA"/>
    <w:rsid w:val="00DA2F73"/>
    <w:rsid w:val="00DA610B"/>
    <w:rsid w:val="00DB0C76"/>
    <w:rsid w:val="00DB35B9"/>
    <w:rsid w:val="00DB4171"/>
    <w:rsid w:val="00DB6FED"/>
    <w:rsid w:val="00DE5507"/>
    <w:rsid w:val="00DF0F4B"/>
    <w:rsid w:val="00DF72C4"/>
    <w:rsid w:val="00E04CF0"/>
    <w:rsid w:val="00E05D95"/>
    <w:rsid w:val="00E06937"/>
    <w:rsid w:val="00E14D75"/>
    <w:rsid w:val="00E21228"/>
    <w:rsid w:val="00E236C8"/>
    <w:rsid w:val="00E30133"/>
    <w:rsid w:val="00E3438F"/>
    <w:rsid w:val="00E35722"/>
    <w:rsid w:val="00E55AF2"/>
    <w:rsid w:val="00E7492F"/>
    <w:rsid w:val="00E831D9"/>
    <w:rsid w:val="00E8659C"/>
    <w:rsid w:val="00E937DD"/>
    <w:rsid w:val="00E9515B"/>
    <w:rsid w:val="00EA4184"/>
    <w:rsid w:val="00EA4498"/>
    <w:rsid w:val="00ED4902"/>
    <w:rsid w:val="00EF63A8"/>
    <w:rsid w:val="00EF6AA7"/>
    <w:rsid w:val="00F142D1"/>
    <w:rsid w:val="00F3211C"/>
    <w:rsid w:val="00F401F8"/>
    <w:rsid w:val="00F43172"/>
    <w:rsid w:val="00F445C2"/>
    <w:rsid w:val="00F5547C"/>
    <w:rsid w:val="00F55745"/>
    <w:rsid w:val="00F67292"/>
    <w:rsid w:val="00F979BF"/>
    <w:rsid w:val="00FC061E"/>
    <w:rsid w:val="00FD7C4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BE57F7E0-BA98-4C34-AAB2-87AE2D3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A0"/>
    <w:pPr>
      <w:keepNext/>
      <w:keepLines/>
    </w:pPr>
    <w:rPr>
      <w:rFonts w:ascii="Calibri" w:hAnsi="Calibri"/>
    </w:rPr>
  </w:style>
  <w:style w:type="paragraph" w:styleId="Heading1">
    <w:name w:val="heading 1"/>
    <w:basedOn w:val="ETCTemplatL1"/>
    <w:next w:val="Normal"/>
    <w:link w:val="Heading1Char"/>
    <w:uiPriority w:val="9"/>
    <w:qFormat/>
    <w:rsid w:val="001A2959"/>
    <w:pPr>
      <w:numPr>
        <w:numId w:val="4"/>
      </w:numPr>
    </w:pPr>
    <w:rPr>
      <w:b/>
      <w:sz w:val="32"/>
    </w:rPr>
  </w:style>
  <w:style w:type="paragraph" w:styleId="Heading2">
    <w:name w:val="heading 2"/>
    <w:basedOn w:val="ETCTemplatL2"/>
    <w:next w:val="Normal"/>
    <w:link w:val="Heading2Char"/>
    <w:uiPriority w:val="9"/>
    <w:unhideWhenUsed/>
    <w:qFormat/>
    <w:rsid w:val="00612F49"/>
    <w:pPr>
      <w:numPr>
        <w:ilvl w:val="1"/>
        <w:numId w:val="4"/>
      </w:numPr>
      <w:spacing w:after="0"/>
    </w:pPr>
    <w:rPr>
      <w:b/>
    </w:rPr>
  </w:style>
  <w:style w:type="paragraph" w:styleId="Heading3">
    <w:name w:val="heading 3"/>
    <w:basedOn w:val="ETCTemplatL3"/>
    <w:next w:val="Normal"/>
    <w:link w:val="Heading3Char"/>
    <w:uiPriority w:val="9"/>
    <w:unhideWhenUsed/>
    <w:qFormat/>
    <w:rsid w:val="00612F49"/>
    <w:pPr>
      <w:numPr>
        <w:ilvl w:val="2"/>
        <w:numId w:val="4"/>
      </w:numPr>
      <w:spacing w:after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F1"/>
    <w:pPr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F1"/>
    <w:pPr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F1"/>
    <w:pPr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F1"/>
    <w:pPr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F1"/>
    <w:pPr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F1"/>
    <w:pPr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ED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qFormat/>
    <w:rsid w:val="00D43BC5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D43BC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959"/>
    <w:rPr>
      <w:rFonts w:ascii="Calibri" w:eastAsia="Times New Roman" w:hAnsi="Calibri" w:cs="Times New Roman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54C2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554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54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F49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F4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F1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F1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F1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F1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8659C"/>
    <w:pPr>
      <w:tabs>
        <w:tab w:val="left" w:pos="880"/>
        <w:tab w:val="right" w:leader="dot" w:pos="9350"/>
      </w:tabs>
      <w:ind w:left="240"/>
    </w:pPr>
  </w:style>
  <w:style w:type="paragraph" w:styleId="ListParagraph">
    <w:name w:val="List Paragraph"/>
    <w:basedOn w:val="Normal"/>
    <w:uiPriority w:val="34"/>
    <w:qFormat/>
    <w:rsid w:val="007C3713"/>
    <w:pPr>
      <w:ind w:left="720"/>
      <w:contextualSpacing/>
    </w:pPr>
  </w:style>
  <w:style w:type="table" w:styleId="TableGrid">
    <w:name w:val="Table Grid"/>
    <w:basedOn w:val="TableNormal"/>
    <w:uiPriority w:val="59"/>
    <w:rsid w:val="008A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963C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D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8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82"/>
    <w:rPr>
      <w:rFonts w:asciiTheme="majorHAnsi" w:hAnsiTheme="majorHAnsi"/>
      <w:b/>
      <w:bCs/>
      <w:sz w:val="20"/>
      <w:szCs w:val="20"/>
    </w:rPr>
  </w:style>
  <w:style w:type="paragraph" w:customStyle="1" w:styleId="HeadingCont1">
    <w:name w:val="Heading Cont 1"/>
    <w:basedOn w:val="Normal"/>
    <w:link w:val="HeadingCont1Char"/>
    <w:rsid w:val="005B2898"/>
    <w:pPr>
      <w:spacing w:before="480"/>
      <w:ind w:left="567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Cont1Char">
    <w:name w:val="Heading Cont 1 Char"/>
    <w:basedOn w:val="Heading1Char"/>
    <w:link w:val="HeadingCont1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2">
    <w:name w:val="Heading Cont 2"/>
    <w:basedOn w:val="HeadingCont1"/>
    <w:link w:val="HeadingCont2Char"/>
    <w:rsid w:val="005B2898"/>
    <w:pPr>
      <w:spacing w:before="200"/>
    </w:pPr>
    <w:rPr>
      <w:sz w:val="26"/>
    </w:rPr>
  </w:style>
  <w:style w:type="character" w:customStyle="1" w:styleId="HeadingCont2Char">
    <w:name w:val="Heading Cont 2 Char"/>
    <w:basedOn w:val="Heading1Char"/>
    <w:link w:val="HeadingCont2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6"/>
      <w:szCs w:val="28"/>
    </w:rPr>
  </w:style>
  <w:style w:type="paragraph" w:customStyle="1" w:styleId="HeadingCont3">
    <w:name w:val="Heading Cont 3"/>
    <w:basedOn w:val="HeadingCont2"/>
    <w:link w:val="HeadingCont3Char"/>
    <w:rsid w:val="005B2898"/>
    <w:pPr>
      <w:ind w:firstLine="295"/>
    </w:pPr>
    <w:rPr>
      <w:sz w:val="24"/>
    </w:rPr>
  </w:style>
  <w:style w:type="character" w:customStyle="1" w:styleId="HeadingCont3Char">
    <w:name w:val="Heading Cont 3 Char"/>
    <w:basedOn w:val="Heading1Char"/>
    <w:link w:val="HeadingCont3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4">
    <w:name w:val="Heading Cont 4"/>
    <w:basedOn w:val="HeadingCont3"/>
    <w:link w:val="HeadingCont4Char"/>
    <w:rsid w:val="005B2898"/>
    <w:pPr>
      <w:ind w:firstLine="655"/>
    </w:pPr>
  </w:style>
  <w:style w:type="character" w:customStyle="1" w:styleId="HeadingCont4Char">
    <w:name w:val="Heading Cont 4 Char"/>
    <w:basedOn w:val="Heading1Char"/>
    <w:link w:val="HeadingCont4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5">
    <w:name w:val="Heading Cont 5"/>
    <w:basedOn w:val="HeadingCont4"/>
    <w:link w:val="HeadingCont5Char"/>
    <w:rsid w:val="005B2898"/>
  </w:style>
  <w:style w:type="character" w:customStyle="1" w:styleId="HeadingCont5Char">
    <w:name w:val="Heading Cont 5 Char"/>
    <w:basedOn w:val="Heading1Char"/>
    <w:link w:val="HeadingCont5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6">
    <w:name w:val="Heading Cont 6"/>
    <w:basedOn w:val="HeadingCont5"/>
    <w:link w:val="HeadingCont6Char"/>
    <w:rsid w:val="005B2898"/>
    <w:pPr>
      <w:ind w:left="4248" w:hanging="48"/>
    </w:pPr>
  </w:style>
  <w:style w:type="character" w:customStyle="1" w:styleId="HeadingCont6Char">
    <w:name w:val="Heading Cont 6 Char"/>
    <w:basedOn w:val="Heading1Char"/>
    <w:link w:val="HeadingCont6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7">
    <w:name w:val="Heading Cont 7"/>
    <w:basedOn w:val="HeadingCont6"/>
    <w:link w:val="HeadingCont7Char"/>
    <w:rsid w:val="005B2898"/>
    <w:pPr>
      <w:ind w:left="4956" w:hanging="68"/>
    </w:pPr>
  </w:style>
  <w:style w:type="character" w:customStyle="1" w:styleId="HeadingCont7Char">
    <w:name w:val="Heading Cont 7 Char"/>
    <w:basedOn w:val="Heading1Char"/>
    <w:link w:val="HeadingCont7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8">
    <w:name w:val="Heading Cont 8"/>
    <w:basedOn w:val="HeadingCont7"/>
    <w:link w:val="HeadingCont8Char"/>
    <w:rsid w:val="005B2898"/>
    <w:pPr>
      <w:ind w:left="5664"/>
    </w:pPr>
    <w:rPr>
      <w:sz w:val="20"/>
    </w:rPr>
  </w:style>
  <w:style w:type="character" w:customStyle="1" w:styleId="HeadingCont8Char">
    <w:name w:val="Heading Cont 8 Char"/>
    <w:basedOn w:val="Heading1Char"/>
    <w:link w:val="HeadingCont8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HeadingCont9">
    <w:name w:val="Heading Cont 9"/>
    <w:basedOn w:val="HeadingCont8"/>
    <w:link w:val="HeadingCont9Char"/>
    <w:rsid w:val="005B2898"/>
    <w:pPr>
      <w:ind w:left="6372" w:hanging="88"/>
    </w:pPr>
  </w:style>
  <w:style w:type="character" w:customStyle="1" w:styleId="HeadingCont9Char">
    <w:name w:val="Heading Cont 9 Char"/>
    <w:basedOn w:val="Heading1Char"/>
    <w:link w:val="HeadingCont9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ETCTemplatCont1">
    <w:name w:val="ETCTemplat Cont 1"/>
    <w:basedOn w:val="Normal"/>
    <w:link w:val="ETCTemplatCont1Char"/>
    <w:rsid w:val="005B2898"/>
    <w:pPr>
      <w:spacing w:before="480" w:after="240"/>
      <w:ind w:left="567"/>
    </w:pPr>
    <w:rPr>
      <w:rFonts w:eastAsia="Times New Roman" w:cs="Times New Roman"/>
      <w:szCs w:val="28"/>
    </w:rPr>
  </w:style>
  <w:style w:type="character" w:customStyle="1" w:styleId="ETCTemplatCont1Char">
    <w:name w:val="ETCTemplat Cont 1 Char"/>
    <w:link w:val="ETCTemplatCont1"/>
    <w:rsid w:val="005B2898"/>
    <w:rPr>
      <w:rFonts w:ascii="Calibri" w:eastAsia="Times New Roman" w:hAnsi="Calibri" w:cs="Times New Roman"/>
      <w:szCs w:val="28"/>
    </w:rPr>
  </w:style>
  <w:style w:type="paragraph" w:customStyle="1" w:styleId="ETCTemplatCont2">
    <w:name w:val="ETCTemplat Cont 2"/>
    <w:basedOn w:val="ETCTemplatCont1"/>
    <w:link w:val="ETCTemplatCont2Char"/>
    <w:rsid w:val="005B2898"/>
    <w:pPr>
      <w:numPr>
        <w:numId w:val="3"/>
      </w:numPr>
      <w:spacing w:before="200"/>
    </w:pPr>
  </w:style>
  <w:style w:type="character" w:customStyle="1" w:styleId="ETCTemplatCont2Char">
    <w:name w:val="ETCTemplat Cont 2 Char"/>
    <w:link w:val="ETCTemplatCont2"/>
    <w:rsid w:val="005B2898"/>
    <w:rPr>
      <w:rFonts w:ascii="Calibri" w:eastAsia="Times New Roman" w:hAnsi="Calibri" w:cs="Times New Roman"/>
      <w:szCs w:val="28"/>
    </w:rPr>
  </w:style>
  <w:style w:type="paragraph" w:customStyle="1" w:styleId="ETCTemplatCont3">
    <w:name w:val="ETCTemplat Cont 3"/>
    <w:basedOn w:val="ETCTemplatCont2"/>
    <w:link w:val="ETCTemplatCont3Char"/>
    <w:rsid w:val="005B2898"/>
    <w:pPr>
      <w:ind w:left="567" w:firstLine="295"/>
    </w:pPr>
  </w:style>
  <w:style w:type="character" w:customStyle="1" w:styleId="ETCTemplatCont3Char">
    <w:name w:val="ETCTemplat Cont 3 Char"/>
    <w:link w:val="ETCTemplatCont3"/>
    <w:rsid w:val="005B2898"/>
    <w:rPr>
      <w:rFonts w:ascii="Calibri" w:eastAsia="Times New Roman" w:hAnsi="Calibri" w:cs="Times New Roman"/>
      <w:szCs w:val="28"/>
    </w:rPr>
  </w:style>
  <w:style w:type="paragraph" w:customStyle="1" w:styleId="ETCTemplatCont4">
    <w:name w:val="ETCTemplat Cont 4"/>
    <w:basedOn w:val="ETCTemplatCont3"/>
    <w:link w:val="ETCTemplatCont4Char"/>
    <w:rsid w:val="005B2898"/>
    <w:pPr>
      <w:ind w:firstLine="655"/>
    </w:pPr>
  </w:style>
  <w:style w:type="character" w:customStyle="1" w:styleId="ETCTemplatCont4Char">
    <w:name w:val="ETCTemplat Cont 4 Char"/>
    <w:link w:val="ETCTemplatCont4"/>
    <w:rsid w:val="005B2898"/>
    <w:rPr>
      <w:rFonts w:ascii="Calibri" w:eastAsia="Times New Roman" w:hAnsi="Calibri" w:cs="Times New Roman"/>
      <w:szCs w:val="28"/>
    </w:rPr>
  </w:style>
  <w:style w:type="paragraph" w:customStyle="1" w:styleId="ETCTemplatCont5">
    <w:name w:val="ETCTemplat Cont 5"/>
    <w:basedOn w:val="ETCTemplatCont4"/>
    <w:link w:val="ETCTemplatCont5Char"/>
    <w:rsid w:val="005B2898"/>
  </w:style>
  <w:style w:type="character" w:customStyle="1" w:styleId="ETCTemplatCont5Char">
    <w:name w:val="ETCTemplat Cont 5 Char"/>
    <w:link w:val="ETCTemplatCont5"/>
    <w:rsid w:val="005B2898"/>
    <w:rPr>
      <w:rFonts w:ascii="Calibri" w:eastAsia="Times New Roman" w:hAnsi="Calibri" w:cs="Times New Roman"/>
      <w:szCs w:val="28"/>
    </w:rPr>
  </w:style>
  <w:style w:type="paragraph" w:customStyle="1" w:styleId="ETCTemplatCont6">
    <w:name w:val="ETCTemplat Cont 6"/>
    <w:basedOn w:val="ETCTemplatCont5"/>
    <w:link w:val="ETCTemplatCont6Char"/>
    <w:rsid w:val="005B2898"/>
    <w:pPr>
      <w:ind w:left="4248" w:hanging="48"/>
    </w:pPr>
  </w:style>
  <w:style w:type="character" w:customStyle="1" w:styleId="ETCTemplatCont6Char">
    <w:name w:val="ETCTemplat Cont 6 Char"/>
    <w:link w:val="ETCTemplatCont6"/>
    <w:rsid w:val="005B2898"/>
    <w:rPr>
      <w:rFonts w:ascii="Calibri" w:eastAsia="Times New Roman" w:hAnsi="Calibri" w:cs="Times New Roman"/>
      <w:szCs w:val="28"/>
    </w:rPr>
  </w:style>
  <w:style w:type="paragraph" w:customStyle="1" w:styleId="ETCTemplatCont7">
    <w:name w:val="ETCTemplat Cont 7"/>
    <w:basedOn w:val="ETCTemplatCont6"/>
    <w:link w:val="ETCTemplatCont7Char"/>
    <w:rsid w:val="005B2898"/>
    <w:pPr>
      <w:ind w:left="4956" w:hanging="68"/>
    </w:pPr>
  </w:style>
  <w:style w:type="character" w:customStyle="1" w:styleId="ETCTemplatCont7Char">
    <w:name w:val="ETCTemplat Cont 7 Char"/>
    <w:link w:val="ETCTemplatCont7"/>
    <w:rsid w:val="005B2898"/>
    <w:rPr>
      <w:rFonts w:ascii="Calibri" w:eastAsia="Times New Roman" w:hAnsi="Calibri" w:cs="Times New Roman"/>
      <w:szCs w:val="28"/>
    </w:rPr>
  </w:style>
  <w:style w:type="paragraph" w:customStyle="1" w:styleId="ETCTemplatCont8">
    <w:name w:val="ETCTemplat Cont 8"/>
    <w:basedOn w:val="ETCTemplatCont7"/>
    <w:link w:val="ETCTemplatCont8Char"/>
    <w:rsid w:val="005B2898"/>
    <w:pPr>
      <w:ind w:left="5664"/>
    </w:pPr>
  </w:style>
  <w:style w:type="character" w:customStyle="1" w:styleId="ETCTemplatCont8Char">
    <w:name w:val="ETCTemplat Cont 8 Char"/>
    <w:link w:val="ETCTemplatCont8"/>
    <w:rsid w:val="005B2898"/>
    <w:rPr>
      <w:rFonts w:ascii="Calibri" w:eastAsia="Times New Roman" w:hAnsi="Calibri" w:cs="Times New Roman"/>
      <w:szCs w:val="28"/>
    </w:rPr>
  </w:style>
  <w:style w:type="paragraph" w:customStyle="1" w:styleId="ETCTemplatCont9">
    <w:name w:val="ETCTemplat Cont 9"/>
    <w:basedOn w:val="ETCTemplatCont8"/>
    <w:link w:val="ETCTemplatCont9Char"/>
    <w:rsid w:val="005B2898"/>
    <w:pPr>
      <w:ind w:left="6372" w:hanging="88"/>
    </w:pPr>
  </w:style>
  <w:style w:type="character" w:customStyle="1" w:styleId="ETCTemplatCont9Char">
    <w:name w:val="ETCTemplat Cont 9 Char"/>
    <w:link w:val="ETCTemplatCont9"/>
    <w:rsid w:val="005B2898"/>
    <w:rPr>
      <w:rFonts w:ascii="Calibri" w:eastAsia="Times New Roman" w:hAnsi="Calibri" w:cs="Times New Roman"/>
      <w:szCs w:val="28"/>
    </w:rPr>
  </w:style>
  <w:style w:type="paragraph" w:customStyle="1" w:styleId="ETCTemplatL1">
    <w:name w:val="ETCTemplat_L1"/>
    <w:basedOn w:val="Normal"/>
    <w:next w:val="Normal"/>
    <w:link w:val="ETCTemplatL1Char"/>
    <w:rsid w:val="005B2898"/>
    <w:pPr>
      <w:spacing w:before="240" w:after="240"/>
      <w:outlineLvl w:val="0"/>
    </w:pPr>
    <w:rPr>
      <w:rFonts w:eastAsia="Times New Roman" w:cs="Times New Roman"/>
      <w:bCs/>
      <w:szCs w:val="28"/>
    </w:rPr>
  </w:style>
  <w:style w:type="character" w:customStyle="1" w:styleId="ETCTemplatL1Char">
    <w:name w:val="ETCTemplat_L1 Char"/>
    <w:link w:val="ETCTemplatL1"/>
    <w:rsid w:val="005B2898"/>
    <w:rPr>
      <w:rFonts w:ascii="Calibri" w:eastAsia="Times New Roman" w:hAnsi="Calibri" w:cs="Times New Roman"/>
      <w:bCs/>
      <w:szCs w:val="28"/>
    </w:rPr>
  </w:style>
  <w:style w:type="paragraph" w:customStyle="1" w:styleId="ETCTemplatL2">
    <w:name w:val="ETCTemplat_L2"/>
    <w:basedOn w:val="Normal"/>
    <w:next w:val="Normal"/>
    <w:link w:val="ETCTemplatL2Char"/>
    <w:rsid w:val="005B2898"/>
    <w:pPr>
      <w:spacing w:before="240" w:after="240"/>
      <w:outlineLvl w:val="1"/>
    </w:pPr>
    <w:rPr>
      <w:rFonts w:eastAsia="Times New Roman" w:cs="Times New Roman"/>
      <w:bCs/>
      <w:szCs w:val="26"/>
    </w:rPr>
  </w:style>
  <w:style w:type="character" w:customStyle="1" w:styleId="ETCTemplatL2Char">
    <w:name w:val="ETCTemplat_L2 Char"/>
    <w:link w:val="ETCTemplatL2"/>
    <w:rsid w:val="005B2898"/>
    <w:rPr>
      <w:rFonts w:ascii="Calibri" w:eastAsia="Times New Roman" w:hAnsi="Calibri" w:cs="Times New Roman"/>
      <w:bCs/>
      <w:szCs w:val="26"/>
    </w:rPr>
  </w:style>
  <w:style w:type="paragraph" w:customStyle="1" w:styleId="ETCTemplatL3">
    <w:name w:val="ETCTemplat_L3"/>
    <w:basedOn w:val="Normal"/>
    <w:next w:val="Normal"/>
    <w:link w:val="ETCTemplatL3Char"/>
    <w:rsid w:val="005B2898"/>
    <w:pPr>
      <w:spacing w:before="240" w:after="240"/>
      <w:outlineLvl w:val="2"/>
    </w:pPr>
    <w:rPr>
      <w:rFonts w:eastAsia="Times New Roman" w:cs="Times New Roman"/>
      <w:bCs/>
    </w:rPr>
  </w:style>
  <w:style w:type="character" w:customStyle="1" w:styleId="ETCTemplatL3Char">
    <w:name w:val="ETCTemplat_L3 Char"/>
    <w:link w:val="ETCTemplatL3"/>
    <w:rsid w:val="005B2898"/>
    <w:rPr>
      <w:rFonts w:ascii="Calibri" w:eastAsia="Times New Roman" w:hAnsi="Calibri" w:cs="Times New Roman"/>
      <w:bCs/>
    </w:rPr>
  </w:style>
  <w:style w:type="paragraph" w:customStyle="1" w:styleId="ETCTemplatL4">
    <w:name w:val="ETCTemplat_L4"/>
    <w:basedOn w:val="Normal"/>
    <w:next w:val="Normal"/>
    <w:link w:val="ETCTemplatL4Char"/>
    <w:rsid w:val="005B2898"/>
    <w:pPr>
      <w:spacing w:before="200" w:after="240"/>
      <w:outlineLvl w:val="3"/>
    </w:pPr>
    <w:rPr>
      <w:rFonts w:eastAsia="Times New Roman" w:cs="Times New Roman"/>
      <w:b/>
      <w:bCs/>
      <w:i/>
      <w:iCs/>
      <w:color w:val="4F81BD"/>
    </w:rPr>
  </w:style>
  <w:style w:type="character" w:customStyle="1" w:styleId="ETCTemplatL4Char">
    <w:name w:val="ETCTemplat_L4 Char"/>
    <w:link w:val="ETCTemplatL4"/>
    <w:rsid w:val="005B28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ETCTemplatL5">
    <w:name w:val="ETCTemplat_L5"/>
    <w:basedOn w:val="Normal"/>
    <w:next w:val="Normal"/>
    <w:link w:val="ETCTemplatL5Char"/>
    <w:rsid w:val="005B2898"/>
    <w:pPr>
      <w:spacing w:before="200" w:after="240"/>
      <w:outlineLvl w:val="4"/>
    </w:pPr>
    <w:rPr>
      <w:rFonts w:eastAsia="Times New Roman" w:cs="Times New Roman"/>
      <w:color w:val="243F60"/>
    </w:rPr>
  </w:style>
  <w:style w:type="character" w:customStyle="1" w:styleId="ETCTemplatL5Char">
    <w:name w:val="ETCTemplat_L5 Char"/>
    <w:link w:val="ETCTemplatL5"/>
    <w:rsid w:val="005B2898"/>
    <w:rPr>
      <w:rFonts w:ascii="Calibri" w:eastAsia="Times New Roman" w:hAnsi="Calibri" w:cs="Times New Roman"/>
      <w:color w:val="243F60"/>
    </w:rPr>
  </w:style>
  <w:style w:type="paragraph" w:customStyle="1" w:styleId="ETCTemplatL6">
    <w:name w:val="ETCTemplat_L6"/>
    <w:basedOn w:val="Normal"/>
    <w:next w:val="Normal"/>
    <w:link w:val="ETCTemplatL6Char"/>
    <w:rsid w:val="005B2898"/>
    <w:pPr>
      <w:spacing w:before="200" w:after="240"/>
      <w:outlineLvl w:val="5"/>
    </w:pPr>
    <w:rPr>
      <w:rFonts w:eastAsia="Times New Roman" w:cs="Times New Roman"/>
      <w:i/>
      <w:iCs/>
      <w:color w:val="243F60"/>
    </w:rPr>
  </w:style>
  <w:style w:type="character" w:customStyle="1" w:styleId="ETCTemplatL6Char">
    <w:name w:val="ETCTemplat_L6 Char"/>
    <w:link w:val="ETCTemplatL6"/>
    <w:rsid w:val="005B2898"/>
    <w:rPr>
      <w:rFonts w:ascii="Calibri" w:eastAsia="Times New Roman" w:hAnsi="Calibri" w:cs="Times New Roman"/>
      <w:i/>
      <w:iCs/>
      <w:color w:val="243F60"/>
    </w:rPr>
  </w:style>
  <w:style w:type="paragraph" w:customStyle="1" w:styleId="ETCTemplatL7">
    <w:name w:val="ETCTemplat_L7"/>
    <w:basedOn w:val="Normal"/>
    <w:next w:val="Normal"/>
    <w:link w:val="ETCTemplatL7Char"/>
    <w:rsid w:val="005B2898"/>
    <w:pPr>
      <w:spacing w:before="200" w:after="240"/>
      <w:outlineLvl w:val="6"/>
    </w:pPr>
    <w:rPr>
      <w:rFonts w:eastAsia="Times New Roman" w:cs="Times New Roman"/>
      <w:i/>
      <w:iCs/>
      <w:color w:val="404040"/>
    </w:rPr>
  </w:style>
  <w:style w:type="character" w:customStyle="1" w:styleId="ETCTemplatL7Char">
    <w:name w:val="ETCTemplat_L7 Char"/>
    <w:link w:val="ETCTemplatL7"/>
    <w:rsid w:val="005B2898"/>
    <w:rPr>
      <w:rFonts w:ascii="Calibri" w:eastAsia="Times New Roman" w:hAnsi="Calibri" w:cs="Times New Roman"/>
      <w:i/>
      <w:iCs/>
      <w:color w:val="404040"/>
    </w:rPr>
  </w:style>
  <w:style w:type="paragraph" w:customStyle="1" w:styleId="ETCTemplatL8">
    <w:name w:val="ETCTemplat_L8"/>
    <w:basedOn w:val="Normal"/>
    <w:next w:val="Normal"/>
    <w:link w:val="ETCTemplatL8Char"/>
    <w:rsid w:val="005B2898"/>
    <w:pPr>
      <w:spacing w:before="200" w:after="240"/>
      <w:outlineLvl w:val="7"/>
    </w:pPr>
    <w:rPr>
      <w:rFonts w:eastAsia="Times New Roman" w:cs="Times New Roman"/>
      <w:color w:val="404040"/>
      <w:szCs w:val="20"/>
    </w:rPr>
  </w:style>
  <w:style w:type="character" w:customStyle="1" w:styleId="ETCTemplatL8Char">
    <w:name w:val="ETCTemplat_L8 Char"/>
    <w:link w:val="ETCTemplatL8"/>
    <w:rsid w:val="005B2898"/>
    <w:rPr>
      <w:rFonts w:ascii="Calibri" w:eastAsia="Times New Roman" w:hAnsi="Calibri" w:cs="Times New Roman"/>
      <w:color w:val="404040"/>
      <w:szCs w:val="20"/>
    </w:rPr>
  </w:style>
  <w:style w:type="paragraph" w:customStyle="1" w:styleId="ETCTemplatL9">
    <w:name w:val="ETCTemplat_L9"/>
    <w:basedOn w:val="Normal"/>
    <w:next w:val="Normal"/>
    <w:link w:val="ETCTemplatL9Char"/>
    <w:rsid w:val="005B2898"/>
    <w:pPr>
      <w:spacing w:before="200" w:after="240"/>
      <w:outlineLvl w:val="8"/>
    </w:pPr>
    <w:rPr>
      <w:rFonts w:eastAsia="Times New Roman" w:cs="Times New Roman"/>
      <w:i/>
      <w:iCs/>
      <w:color w:val="404040"/>
      <w:szCs w:val="20"/>
    </w:rPr>
  </w:style>
  <w:style w:type="character" w:customStyle="1" w:styleId="ETCTemplatL9Char">
    <w:name w:val="ETCTemplat_L9 Char"/>
    <w:link w:val="ETCTemplatL9"/>
    <w:rsid w:val="005B2898"/>
    <w:rPr>
      <w:rFonts w:ascii="Calibri" w:eastAsia="Times New Roman" w:hAnsi="Calibri" w:cs="Times New Roman"/>
      <w:i/>
      <w:iCs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5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tconsortiu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consortium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6896-1D48-49AD-A626-962D305F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17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Reath, LLP</Company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Vergis</dc:creator>
  <cp:lastModifiedBy>Krisko, Kristin L.</cp:lastModifiedBy>
  <cp:revision>3</cp:revision>
  <dcterms:created xsi:type="dcterms:W3CDTF">2019-01-31T20:09:00Z</dcterms:created>
  <dcterms:modified xsi:type="dcterms:W3CDTF">2019-01-31T20:09:00Z</dcterms:modified>
</cp:coreProperties>
</file>